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1860" w14:textId="03C0A204" w:rsidR="005D660B" w:rsidRPr="00B85F3A" w:rsidRDefault="00E8585A" w:rsidP="00DB77F7">
      <w:pPr>
        <w:tabs>
          <w:tab w:val="left" w:pos="567"/>
          <w:tab w:val="left" w:pos="9200"/>
        </w:tabs>
        <w:rPr>
          <w:rFonts w:ascii="Arial Black" w:hAnsi="Arial Black"/>
          <w:caps/>
          <w:sz w:val="28"/>
        </w:rPr>
      </w:pPr>
      <w:r>
        <w:rPr>
          <w:rFonts w:ascii="Arial Black" w:hAnsi="Arial Black"/>
          <w:noProof/>
          <w:sz w:val="20"/>
          <w:lang w:eastAsia="en-GB"/>
        </w:rPr>
        <mc:AlternateContent>
          <mc:Choice Requires="wps">
            <w:drawing>
              <wp:anchor distT="0" distB="0" distL="114300" distR="114300" simplePos="0" relativeHeight="251657728" behindDoc="0" locked="0" layoutInCell="1" allowOverlap="1" wp14:anchorId="77E91900" wp14:editId="6F19FEBD">
                <wp:simplePos x="0" y="0"/>
                <wp:positionH relativeFrom="column">
                  <wp:posOffset>-24765</wp:posOffset>
                </wp:positionH>
                <wp:positionV relativeFrom="paragraph">
                  <wp:posOffset>-407670</wp:posOffset>
                </wp:positionV>
                <wp:extent cx="304800" cy="200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00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7E9190A" w14:textId="7CD95AE8" w:rsidR="00B6242B" w:rsidRDefault="00B62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1900" id="_x0000_t202" coordsize="21600,21600" o:spt="202" path="m,l,21600r21600,l21600,xe">
                <v:stroke joinstyle="miter"/>
                <v:path gradientshapeok="t" o:connecttype="rect"/>
              </v:shapetype>
              <v:shape id="Text Box 2" o:spid="_x0000_s1026" type="#_x0000_t202" style="position:absolute;left:0;text-align:left;margin-left:-1.95pt;margin-top:-32.1pt;width:24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" stroked="f" strokecolor="blue">
                <v:textbox>
                  <w:txbxContent>
                    <w:p w14:paraId="77E9190A" w14:textId="7CD95AE8" w:rsidR="00B6242B" w:rsidRDefault="00B6242B"/>
                  </w:txbxContent>
                </v:textbox>
              </v:shape>
            </w:pict>
          </mc:Fallback>
        </mc:AlternateContent>
      </w:r>
    </w:p>
    <w:p w14:paraId="5A2EEC5F" w14:textId="686D0C9D" w:rsidR="006F2F5D" w:rsidRPr="006F2F5D" w:rsidRDefault="00DB77F7" w:rsidP="00B738B4">
      <w:pPr>
        <w:rPr>
          <w:rFonts w:cs="Arial"/>
          <w:b/>
          <w:bCs/>
          <w:sz w:val="22"/>
          <w:szCs w:val="22"/>
        </w:rPr>
      </w:pPr>
      <w:r>
        <w:rPr>
          <w:rFonts w:cs="Arial"/>
          <w:b/>
          <w:bCs/>
          <w:sz w:val="22"/>
          <w:szCs w:val="22"/>
        </w:rPr>
        <w:t>ECO</w:t>
      </w:r>
      <w:r w:rsidR="006F2F5D" w:rsidRPr="006F2F5D">
        <w:rPr>
          <w:rFonts w:cs="Arial"/>
          <w:b/>
          <w:bCs/>
          <w:sz w:val="22"/>
          <w:szCs w:val="22"/>
        </w:rPr>
        <w:t>NOMIC BACKGROUND PROVIDED BY LINK ASSET SERVICES</w:t>
      </w:r>
    </w:p>
    <w:p w14:paraId="552ED665" w14:textId="77777777" w:rsidR="006F2F5D" w:rsidRPr="006F2F5D" w:rsidRDefault="006F2F5D" w:rsidP="00B738B4">
      <w:pPr>
        <w:rPr>
          <w:rFonts w:cs="Arial"/>
          <w:sz w:val="22"/>
          <w:szCs w:val="22"/>
        </w:rPr>
      </w:pPr>
    </w:p>
    <w:p w14:paraId="00E3D163" w14:textId="77777777" w:rsidR="006F2F5D" w:rsidRPr="006F2F5D" w:rsidRDefault="006F2F5D" w:rsidP="00B738B4">
      <w:pPr>
        <w:spacing w:before="120" w:after="120"/>
        <w:ind w:left="360"/>
        <w:rPr>
          <w:rFonts w:eastAsia="Arial" w:cs="Arial"/>
          <w:bCs/>
          <w:color w:val="1D1B11"/>
          <w:sz w:val="22"/>
          <w:szCs w:val="22"/>
          <w:lang w:val="en-AU"/>
        </w:rPr>
      </w:pPr>
      <w:bookmarkStart w:id="0" w:name="_Hlk95310008"/>
      <w:r w:rsidRPr="006F2F5D">
        <w:rPr>
          <w:rFonts w:eastAsia="Arial" w:cs="Arial"/>
          <w:b/>
          <w:bCs/>
          <w:color w:val="1D1B11"/>
          <w:sz w:val="22"/>
          <w:szCs w:val="22"/>
          <w:lang w:val="en-AU"/>
        </w:rPr>
        <w:t>COVID-19 vaccines.</w:t>
      </w:r>
      <w:r w:rsidRPr="006F2F5D">
        <w:rPr>
          <w:rFonts w:eastAsia="Arial" w:cs="Arial"/>
          <w:bCs/>
          <w:color w:val="1D1B11"/>
          <w:sz w:val="22"/>
          <w:szCs w:val="22"/>
          <w:lang w:val="en-AU"/>
        </w:rPr>
        <w:t xml:space="preserve"> </w:t>
      </w:r>
    </w:p>
    <w:p w14:paraId="70AA784C" w14:textId="77777777" w:rsidR="00FC6F63" w:rsidRDefault="006F2F5D" w:rsidP="00B738B4">
      <w:pPr>
        <w:spacing w:before="120" w:after="120"/>
        <w:ind w:left="360"/>
        <w:rPr>
          <w:rFonts w:eastAsia="Arial" w:cs="Arial"/>
          <w:bCs/>
          <w:color w:val="1D1B11"/>
          <w:sz w:val="22"/>
          <w:szCs w:val="22"/>
          <w:lang w:val="en-AU"/>
        </w:rPr>
      </w:pPr>
      <w:bookmarkStart w:id="1" w:name="_Hlk95305516"/>
      <w:r w:rsidRPr="006F2F5D">
        <w:rPr>
          <w:rFonts w:eastAsia="Arial" w:cs="Arial"/>
          <w:bCs/>
          <w:color w:val="1D1B11"/>
          <w:sz w:val="22"/>
          <w:szCs w:val="22"/>
          <w:lang w:val="en-AU"/>
        </w:rPr>
        <w:t xml:space="preserve">These were </w:t>
      </w:r>
      <w:r w:rsidR="00B6242B">
        <w:rPr>
          <w:rFonts w:eastAsia="Arial" w:cs="Arial"/>
          <w:bCs/>
          <w:color w:val="1D1B11"/>
          <w:sz w:val="22"/>
          <w:szCs w:val="22"/>
          <w:lang w:val="en-AU"/>
        </w:rPr>
        <w:t>a significant development</w:t>
      </w:r>
      <w:r w:rsidRPr="006F2F5D">
        <w:rPr>
          <w:rFonts w:eastAsia="Arial" w:cs="Arial"/>
          <w:bCs/>
          <w:color w:val="1D1B11"/>
          <w:sz w:val="22"/>
          <w:szCs w:val="22"/>
          <w:lang w:val="en-AU"/>
        </w:rPr>
        <w:t xml:space="preserve"> during 2021 which raised high hopes that life in the UK would be able to largely return to normal in the second half of the year. However, the emergence of the Omicron mutation at the end of November</w:t>
      </w:r>
      <w:r w:rsidR="00FC6F63">
        <w:rPr>
          <w:rFonts w:eastAsia="Arial" w:cs="Arial"/>
          <w:bCs/>
          <w:color w:val="1D1B11"/>
          <w:sz w:val="22"/>
          <w:szCs w:val="22"/>
          <w:lang w:val="en-AU"/>
        </w:rPr>
        <w:t xml:space="preserve"> dampened this. </w:t>
      </w:r>
    </w:p>
    <w:p w14:paraId="18B46CEE" w14:textId="77777777" w:rsidR="00FC6F63" w:rsidRDefault="006F2F5D" w:rsidP="00B738B4">
      <w:pPr>
        <w:spacing w:before="120" w:after="120"/>
        <w:ind w:left="360"/>
        <w:rPr>
          <w:rFonts w:eastAsia="Arial" w:cs="Arial"/>
          <w:bCs/>
          <w:color w:val="1D1B11"/>
          <w:sz w:val="22"/>
          <w:szCs w:val="22"/>
          <w:lang w:val="en-AU"/>
        </w:rPr>
      </w:pPr>
      <w:r w:rsidRPr="006F2F5D">
        <w:rPr>
          <w:rFonts w:eastAsia="Arial" w:cs="Arial"/>
          <w:bCs/>
          <w:color w:val="1D1B11"/>
          <w:sz w:val="22"/>
          <w:szCs w:val="22"/>
          <w:lang w:val="en-AU"/>
        </w:rPr>
        <w:t xml:space="preserve">The economy, therefore, faces significant headwinds although some sectors have learned how to cope well with Covid. </w:t>
      </w:r>
    </w:p>
    <w:p w14:paraId="3EE47DA2" w14:textId="5606B660" w:rsidR="006F2F5D" w:rsidRPr="006F2F5D" w:rsidRDefault="006F2F5D" w:rsidP="00B738B4">
      <w:pPr>
        <w:spacing w:before="120" w:after="120"/>
        <w:ind w:left="360"/>
        <w:rPr>
          <w:rFonts w:eastAsia="Arial" w:cs="Arial"/>
          <w:bCs/>
          <w:color w:val="1D1B11"/>
          <w:sz w:val="22"/>
          <w:szCs w:val="22"/>
        </w:rPr>
      </w:pPr>
      <w:r w:rsidRPr="006F2F5D">
        <w:rPr>
          <w:rFonts w:eastAsia="Arial" w:cs="Arial"/>
          <w:bCs/>
          <w:color w:val="1D1B11"/>
          <w:sz w:val="22"/>
          <w:szCs w:val="22"/>
          <w:lang w:val="en-AU"/>
        </w:rPr>
        <w:t xml:space="preserve">The big question still remains as to whether any further mutations </w:t>
      </w:r>
      <w:r w:rsidR="006675A2">
        <w:rPr>
          <w:rFonts w:eastAsia="Arial" w:cs="Arial"/>
          <w:bCs/>
          <w:color w:val="1D1B11"/>
          <w:sz w:val="22"/>
          <w:szCs w:val="22"/>
          <w:lang w:val="en-AU"/>
        </w:rPr>
        <w:t>could emerge.</w:t>
      </w:r>
    </w:p>
    <w:bookmarkEnd w:id="1"/>
    <w:p w14:paraId="5EB4924F" w14:textId="77777777" w:rsidR="006F2F5D" w:rsidRPr="006F2F5D" w:rsidRDefault="006F2F5D" w:rsidP="00B738B4">
      <w:pPr>
        <w:ind w:firstLine="360"/>
        <w:rPr>
          <w:rFonts w:eastAsia="Arial" w:cs="Arial"/>
          <w:color w:val="1D1B11"/>
          <w:sz w:val="22"/>
          <w:szCs w:val="22"/>
          <w:lang w:val="en-AU"/>
        </w:rPr>
      </w:pPr>
    </w:p>
    <w:p w14:paraId="505DB990" w14:textId="77777777" w:rsidR="006F2F5D" w:rsidRPr="006F2F5D" w:rsidRDefault="006F2F5D" w:rsidP="00B738B4">
      <w:pPr>
        <w:ind w:firstLine="360"/>
        <w:rPr>
          <w:rFonts w:eastAsia="Arial" w:cs="Arial"/>
          <w:b/>
          <w:bCs/>
          <w:color w:val="1D1B11"/>
          <w:sz w:val="22"/>
          <w:szCs w:val="22"/>
          <w:lang w:val="en-AU"/>
        </w:rPr>
      </w:pPr>
      <w:r w:rsidRPr="006F2F5D">
        <w:rPr>
          <w:rFonts w:eastAsia="Arial" w:cs="Arial"/>
          <w:b/>
          <w:bCs/>
          <w:color w:val="1D1B11"/>
          <w:sz w:val="22"/>
          <w:szCs w:val="22"/>
          <w:lang w:val="en-AU"/>
        </w:rPr>
        <w:t>MPC MEETING 16</w:t>
      </w:r>
      <w:r w:rsidRPr="006F2F5D">
        <w:rPr>
          <w:rFonts w:eastAsia="Arial" w:cs="Arial"/>
          <w:b/>
          <w:bCs/>
          <w:color w:val="1D1B11"/>
          <w:sz w:val="22"/>
          <w:szCs w:val="22"/>
          <w:vertAlign w:val="superscript"/>
          <w:lang w:val="en-AU"/>
        </w:rPr>
        <w:t>H</w:t>
      </w:r>
      <w:r w:rsidRPr="006F2F5D">
        <w:rPr>
          <w:rFonts w:eastAsia="Arial" w:cs="Arial"/>
          <w:b/>
          <w:bCs/>
          <w:color w:val="1D1B11"/>
          <w:sz w:val="22"/>
          <w:szCs w:val="22"/>
          <w:lang w:val="en-AU"/>
        </w:rPr>
        <w:t xml:space="preserve"> DECEMBER 2021</w:t>
      </w:r>
    </w:p>
    <w:p w14:paraId="36A4B37D" w14:textId="77777777" w:rsidR="006F2F5D" w:rsidRPr="006F2F5D" w:rsidRDefault="006F2F5D" w:rsidP="00B738B4">
      <w:pPr>
        <w:numPr>
          <w:ilvl w:val="0"/>
          <w:numId w:val="30"/>
        </w:numPr>
        <w:rPr>
          <w:rFonts w:eastAsia="Arial" w:cs="Arial"/>
          <w:bCs/>
          <w:color w:val="1D1B11"/>
          <w:sz w:val="22"/>
          <w:szCs w:val="22"/>
          <w:lang w:val="en-AU"/>
        </w:rPr>
      </w:pPr>
      <w:bookmarkStart w:id="2" w:name="_Hlk90913098"/>
      <w:r w:rsidRPr="006F2F5D">
        <w:rPr>
          <w:rFonts w:eastAsia="Arial" w:cs="Arial"/>
          <w:bCs/>
          <w:color w:val="1D1B11"/>
          <w:sz w:val="22"/>
          <w:szCs w:val="22"/>
          <w:lang w:val="en-AU"/>
        </w:rPr>
        <w:t>The Monetary Policy Committee (MPC) voted 8-1 to raise Bank Rate by 0.15% from 0.10% to 0.25% and unanimously decided to make no changes to its programme of quantitative easing purchases due to finish in December 2021 at a total of £895bn.</w:t>
      </w:r>
    </w:p>
    <w:p w14:paraId="678684A5" w14:textId="77777777" w:rsidR="006F2F5D" w:rsidRPr="006F2F5D" w:rsidRDefault="006F2F5D" w:rsidP="00B738B4">
      <w:pPr>
        <w:ind w:left="720"/>
        <w:rPr>
          <w:rFonts w:eastAsia="Arial" w:cs="Arial"/>
          <w:bCs/>
          <w:color w:val="1D1B11"/>
          <w:sz w:val="22"/>
          <w:szCs w:val="22"/>
          <w:lang w:val="en-AU"/>
        </w:rPr>
      </w:pPr>
    </w:p>
    <w:p w14:paraId="2E9B9DA9" w14:textId="528B3FAD" w:rsidR="006F2F5D" w:rsidRPr="006F2F5D" w:rsidRDefault="006F2F5D" w:rsidP="00B738B4">
      <w:pPr>
        <w:numPr>
          <w:ilvl w:val="0"/>
          <w:numId w:val="30"/>
        </w:numPr>
        <w:rPr>
          <w:rFonts w:eastAsia="Arial" w:cs="Arial"/>
          <w:bCs/>
          <w:color w:val="1D1B11"/>
          <w:sz w:val="22"/>
          <w:szCs w:val="22"/>
          <w:lang w:val="en-AU"/>
        </w:rPr>
      </w:pPr>
      <w:r w:rsidRPr="006F2F5D">
        <w:rPr>
          <w:rFonts w:eastAsia="Arial" w:cs="Arial"/>
          <w:bCs/>
          <w:color w:val="1D1B11"/>
          <w:sz w:val="22"/>
          <w:szCs w:val="22"/>
          <w:lang w:val="en-AU"/>
        </w:rPr>
        <w:t>The MPC di</w:t>
      </w:r>
      <w:r w:rsidR="00FC6F63">
        <w:rPr>
          <w:rFonts w:eastAsia="Arial" w:cs="Arial"/>
          <w:bCs/>
          <w:color w:val="1D1B11"/>
          <w:sz w:val="22"/>
          <w:szCs w:val="22"/>
          <w:lang w:val="en-AU"/>
        </w:rPr>
        <w:t xml:space="preserve">d not </w:t>
      </w:r>
      <w:r w:rsidRPr="006F2F5D">
        <w:rPr>
          <w:rFonts w:eastAsia="Arial" w:cs="Arial"/>
          <w:bCs/>
          <w:color w:val="1D1B11"/>
          <w:sz w:val="22"/>
          <w:szCs w:val="22"/>
          <w:lang w:val="en-AU"/>
        </w:rPr>
        <w:t>rais</w:t>
      </w:r>
      <w:r w:rsidR="00FC6F63">
        <w:rPr>
          <w:rFonts w:eastAsia="Arial" w:cs="Arial"/>
          <w:bCs/>
          <w:color w:val="1D1B11"/>
          <w:sz w:val="22"/>
          <w:szCs w:val="22"/>
          <w:lang w:val="en-AU"/>
        </w:rPr>
        <w:t>e the</w:t>
      </w:r>
      <w:r w:rsidRPr="006F2F5D">
        <w:rPr>
          <w:rFonts w:eastAsia="Arial" w:cs="Arial"/>
          <w:bCs/>
          <w:color w:val="1D1B11"/>
          <w:sz w:val="22"/>
          <w:szCs w:val="22"/>
          <w:lang w:val="en-AU"/>
        </w:rPr>
        <w:t xml:space="preserve"> Bank Rate at its November meeting. Until the Omicron variant emerged, most forecasters, viewed a Bank Rate increase as being near certain at this December meeting due to the way that</w:t>
      </w:r>
      <w:r w:rsidR="006675A2">
        <w:rPr>
          <w:rFonts w:eastAsia="Arial" w:cs="Arial"/>
          <w:bCs/>
          <w:color w:val="1D1B11"/>
          <w:sz w:val="22"/>
          <w:szCs w:val="22"/>
          <w:lang w:val="en-AU"/>
        </w:rPr>
        <w:t xml:space="preserve"> worldwide</w:t>
      </w:r>
      <w:r w:rsidRPr="006F2F5D">
        <w:rPr>
          <w:rFonts w:eastAsia="Arial" w:cs="Arial"/>
          <w:bCs/>
          <w:color w:val="1D1B11"/>
          <w:sz w:val="22"/>
          <w:szCs w:val="22"/>
          <w:lang w:val="en-AU"/>
        </w:rPr>
        <w:t xml:space="preserve"> inflationary pressures have been building in both producer and consumer prices, and in wage rates. However, at the November meeting, the MPC decided it wanted to have assurance that the labour market would get over the end of the furlough scheme on 30</w:t>
      </w:r>
      <w:r w:rsidRPr="006F2F5D">
        <w:rPr>
          <w:rFonts w:eastAsia="Arial" w:cs="Arial"/>
          <w:bCs/>
          <w:color w:val="1D1B11"/>
          <w:sz w:val="22"/>
          <w:szCs w:val="22"/>
          <w:vertAlign w:val="superscript"/>
          <w:lang w:val="en-AU"/>
        </w:rPr>
        <w:t>th</w:t>
      </w:r>
      <w:r w:rsidRPr="006F2F5D">
        <w:rPr>
          <w:rFonts w:eastAsia="Arial" w:cs="Arial"/>
          <w:bCs/>
          <w:color w:val="1D1B11"/>
          <w:sz w:val="22"/>
          <w:szCs w:val="22"/>
          <w:lang w:val="en-AU"/>
        </w:rPr>
        <w:t xml:space="preserve"> September without unemployment increasing sharply; their decision was, therefore, to wait until statistics were available to show how the economy had fared at this time.  </w:t>
      </w:r>
    </w:p>
    <w:p w14:paraId="22FC2F91" w14:textId="77777777" w:rsidR="006F2F5D" w:rsidRPr="006F2F5D" w:rsidRDefault="006F2F5D" w:rsidP="00B738B4">
      <w:pPr>
        <w:ind w:left="720"/>
        <w:rPr>
          <w:rFonts w:eastAsia="Arial" w:cs="Arial"/>
          <w:bCs/>
          <w:color w:val="1D1B11"/>
          <w:sz w:val="22"/>
          <w:szCs w:val="22"/>
          <w:lang w:val="en-AU"/>
        </w:rPr>
      </w:pPr>
    </w:p>
    <w:p w14:paraId="4E2E9DB7" w14:textId="37BEC5A7" w:rsidR="006F2F5D" w:rsidRDefault="006F2F5D" w:rsidP="00B738B4">
      <w:pPr>
        <w:numPr>
          <w:ilvl w:val="0"/>
          <w:numId w:val="30"/>
        </w:numPr>
        <w:rPr>
          <w:rFonts w:eastAsia="Arial" w:cs="Arial"/>
          <w:bCs/>
          <w:color w:val="1D1B11"/>
          <w:sz w:val="22"/>
          <w:szCs w:val="22"/>
          <w:lang w:val="en-AU"/>
        </w:rPr>
      </w:pPr>
      <w:r w:rsidRPr="00FC6F63">
        <w:rPr>
          <w:rFonts w:eastAsia="Arial" w:cs="Arial"/>
          <w:b/>
          <w:bCs/>
          <w:color w:val="1D1B11"/>
          <w:sz w:val="22"/>
          <w:szCs w:val="22"/>
          <w:lang w:val="en-AU"/>
        </w:rPr>
        <w:t>On 10</w:t>
      </w:r>
      <w:r w:rsidRPr="00FC6F63">
        <w:rPr>
          <w:rFonts w:eastAsia="Arial" w:cs="Arial"/>
          <w:b/>
          <w:bCs/>
          <w:color w:val="1D1B11"/>
          <w:sz w:val="22"/>
          <w:szCs w:val="22"/>
          <w:vertAlign w:val="superscript"/>
          <w:lang w:val="en-AU"/>
        </w:rPr>
        <w:t>th</w:t>
      </w:r>
      <w:r w:rsidRPr="00FC6F63">
        <w:rPr>
          <w:rFonts w:eastAsia="Arial" w:cs="Arial"/>
          <w:b/>
          <w:bCs/>
          <w:color w:val="1D1B11"/>
          <w:sz w:val="22"/>
          <w:szCs w:val="22"/>
          <w:lang w:val="en-AU"/>
        </w:rPr>
        <w:t xml:space="preserve"> December we learnt that the rise in GDP in October was just</w:t>
      </w:r>
      <w:r w:rsidRPr="00FC6F63">
        <w:rPr>
          <w:rFonts w:eastAsia="Arial" w:cs="Arial"/>
          <w:bCs/>
          <w:color w:val="1D1B11"/>
          <w:sz w:val="22"/>
          <w:szCs w:val="22"/>
          <w:lang w:val="en-AU"/>
        </w:rPr>
        <w:t xml:space="preserve"> </w:t>
      </w:r>
      <w:r w:rsidRPr="00FC6F63">
        <w:rPr>
          <w:rFonts w:eastAsia="Arial" w:cs="Arial"/>
          <w:b/>
          <w:bCs/>
          <w:color w:val="1D1B11"/>
          <w:sz w:val="22"/>
          <w:szCs w:val="22"/>
          <w:lang w:val="en-AU"/>
        </w:rPr>
        <w:t>0.1% m/m,</w:t>
      </w:r>
      <w:r w:rsidRPr="00FC6F63">
        <w:rPr>
          <w:rFonts w:eastAsia="Arial" w:cs="Arial"/>
          <w:bCs/>
          <w:color w:val="1D1B11"/>
          <w:sz w:val="22"/>
          <w:szCs w:val="22"/>
          <w:lang w:val="en-AU"/>
        </w:rPr>
        <w:t xml:space="preserve"> Early evidence suggests growth in November might have been marginally better. </w:t>
      </w:r>
    </w:p>
    <w:p w14:paraId="2CB16692" w14:textId="77777777" w:rsidR="00FC6F63" w:rsidRPr="00FC6F63" w:rsidRDefault="00FC6F63" w:rsidP="00B738B4">
      <w:pPr>
        <w:rPr>
          <w:rFonts w:eastAsia="Arial" w:cs="Arial"/>
          <w:bCs/>
          <w:color w:val="1D1B11"/>
          <w:sz w:val="22"/>
          <w:szCs w:val="22"/>
          <w:lang w:val="en-AU"/>
        </w:rPr>
      </w:pPr>
    </w:p>
    <w:p w14:paraId="6D6548B9" w14:textId="00807D97" w:rsidR="006F2F5D" w:rsidRPr="006F2F5D" w:rsidRDefault="006F2F5D" w:rsidP="00B738B4">
      <w:pPr>
        <w:numPr>
          <w:ilvl w:val="0"/>
          <w:numId w:val="30"/>
        </w:numPr>
        <w:rPr>
          <w:rFonts w:eastAsia="Arial" w:cs="Arial"/>
          <w:bCs/>
          <w:color w:val="1D1B11"/>
          <w:sz w:val="22"/>
          <w:szCs w:val="22"/>
        </w:rPr>
      </w:pPr>
      <w:r w:rsidRPr="006F2F5D">
        <w:rPr>
          <w:rFonts w:eastAsia="Arial" w:cs="Arial"/>
          <w:b/>
          <w:bCs/>
          <w:color w:val="1D1B11"/>
          <w:sz w:val="22"/>
          <w:szCs w:val="22"/>
          <w:lang w:val="en-AU"/>
        </w:rPr>
        <w:t>On 14</w:t>
      </w:r>
      <w:r w:rsidRPr="006F2F5D">
        <w:rPr>
          <w:rFonts w:eastAsia="Arial" w:cs="Arial"/>
          <w:b/>
          <w:bCs/>
          <w:color w:val="1D1B11"/>
          <w:sz w:val="22"/>
          <w:szCs w:val="22"/>
          <w:vertAlign w:val="superscript"/>
          <w:lang w:val="en-AU"/>
        </w:rPr>
        <w:t>th</w:t>
      </w:r>
      <w:r w:rsidRPr="006F2F5D">
        <w:rPr>
          <w:rFonts w:eastAsia="Arial" w:cs="Arial"/>
          <w:b/>
          <w:bCs/>
          <w:color w:val="1D1B11"/>
          <w:sz w:val="22"/>
          <w:szCs w:val="22"/>
          <w:lang w:val="en-AU"/>
        </w:rPr>
        <w:t xml:space="preserve"> December, the</w:t>
      </w:r>
      <w:r w:rsidRPr="006F2F5D">
        <w:rPr>
          <w:rFonts w:eastAsia="Arial" w:cs="Arial"/>
          <w:bCs/>
          <w:color w:val="1D1B11"/>
          <w:sz w:val="22"/>
          <w:szCs w:val="22"/>
          <w:lang w:val="en-AU"/>
        </w:rPr>
        <w:t xml:space="preserve"> </w:t>
      </w:r>
      <w:r w:rsidRPr="006F2F5D">
        <w:rPr>
          <w:rFonts w:eastAsia="Arial" w:cs="Arial"/>
          <w:b/>
          <w:bCs/>
          <w:color w:val="1D1B11"/>
          <w:sz w:val="22"/>
          <w:szCs w:val="22"/>
          <w:lang w:val="en-AU"/>
        </w:rPr>
        <w:t>labour market statistics</w:t>
      </w:r>
      <w:r w:rsidRPr="006F2F5D">
        <w:rPr>
          <w:rFonts w:eastAsia="Arial" w:cs="Arial"/>
          <w:bCs/>
          <w:color w:val="1D1B11"/>
          <w:sz w:val="22"/>
          <w:szCs w:val="22"/>
          <w:lang w:val="en-AU"/>
        </w:rPr>
        <w:t xml:space="preserve"> for the three months to October and the single month of October were released.  T</w:t>
      </w:r>
      <w:r w:rsidRPr="006F2F5D">
        <w:rPr>
          <w:rFonts w:eastAsia="Arial" w:cs="Arial"/>
          <w:bCs/>
          <w:color w:val="1D1B11"/>
          <w:sz w:val="22"/>
          <w:szCs w:val="22"/>
        </w:rPr>
        <w:t>he fallout after the furlough scheme was smaller  than the Bank of England had feared. The single-month data were more informative and showed that LFS employment fell by 240,000, unemployment increased by 75,000 and the unemployment rate rose from 3.9% in September to 4.2%. However, the weekly data suggested that unemployment was falling again by the end of October. What’s more, the 49,700 fall in the claimant count and the 257,000 rise in the PAYE measure of company payrolls suggests that the labour market strengthened again in November.  The other side of the coin was a further rise in the number of vacancies from 1.182m to a record 1.219m in the three months to November which suggests that the supply of labour is struggling to keep up with demand, although the single-month figure for November fell for the first time since February, from 1.307m to 1.227m.</w:t>
      </w:r>
    </w:p>
    <w:p w14:paraId="61A3D9D7" w14:textId="77777777" w:rsidR="006F2F5D" w:rsidRPr="006F2F5D" w:rsidRDefault="006F2F5D" w:rsidP="00B738B4">
      <w:pPr>
        <w:ind w:left="720"/>
        <w:rPr>
          <w:rFonts w:eastAsia="Arial" w:cs="Arial"/>
          <w:bCs/>
          <w:color w:val="1D1B11"/>
          <w:sz w:val="22"/>
          <w:szCs w:val="22"/>
        </w:rPr>
      </w:pPr>
    </w:p>
    <w:p w14:paraId="65E8F807" w14:textId="0454994B" w:rsidR="006F2F5D" w:rsidRPr="006F2F5D" w:rsidRDefault="006F2F5D" w:rsidP="00B738B4">
      <w:pPr>
        <w:numPr>
          <w:ilvl w:val="0"/>
          <w:numId w:val="30"/>
        </w:numPr>
        <w:rPr>
          <w:rFonts w:eastAsia="Arial" w:cs="Arial"/>
          <w:bCs/>
          <w:color w:val="1D1B11"/>
          <w:sz w:val="22"/>
          <w:szCs w:val="22"/>
        </w:rPr>
      </w:pPr>
      <w:r w:rsidRPr="006F2F5D">
        <w:rPr>
          <w:rFonts w:eastAsia="Arial" w:cs="Arial"/>
          <w:bCs/>
          <w:color w:val="1D1B11"/>
          <w:sz w:val="22"/>
          <w:szCs w:val="22"/>
        </w:rPr>
        <w:t xml:space="preserve">These figures by themselves, would probably have been enough to give the MPC the assurance that it could press ahead to raise Bank Rate at this December meeting.  However, the advent of Omicron complicated matters as it </w:t>
      </w:r>
      <w:r w:rsidRPr="006F2F5D">
        <w:rPr>
          <w:rFonts w:eastAsia="Arial" w:cs="Arial"/>
          <w:bCs/>
          <w:color w:val="1D1B11"/>
          <w:sz w:val="22"/>
          <w:szCs w:val="22"/>
          <w:lang w:val="en-AU"/>
        </w:rPr>
        <w:t xml:space="preserve">poses a </w:t>
      </w:r>
      <w:r w:rsidR="006675A2">
        <w:rPr>
          <w:rFonts w:eastAsia="Arial" w:cs="Arial"/>
          <w:bCs/>
          <w:color w:val="1D1B11"/>
          <w:sz w:val="22"/>
          <w:szCs w:val="22"/>
          <w:lang w:val="en-AU"/>
        </w:rPr>
        <w:t>risk</w:t>
      </w:r>
      <w:r w:rsidRPr="006F2F5D">
        <w:rPr>
          <w:rFonts w:eastAsia="Arial" w:cs="Arial"/>
          <w:bCs/>
          <w:color w:val="1D1B11"/>
          <w:sz w:val="22"/>
          <w:szCs w:val="22"/>
          <w:lang w:val="en-AU"/>
        </w:rPr>
        <w:t xml:space="preserve"> to the economy</w:t>
      </w:r>
      <w:r w:rsidR="006675A2">
        <w:rPr>
          <w:rFonts w:eastAsia="Arial" w:cs="Arial"/>
          <w:bCs/>
          <w:color w:val="1D1B11"/>
          <w:sz w:val="22"/>
          <w:szCs w:val="22"/>
          <w:lang w:val="en-AU"/>
        </w:rPr>
        <w:t xml:space="preserve">. </w:t>
      </w:r>
      <w:r w:rsidRPr="006F2F5D">
        <w:rPr>
          <w:rFonts w:eastAsia="Arial" w:cs="Arial"/>
          <w:bCs/>
          <w:color w:val="1D1B11"/>
          <w:sz w:val="22"/>
          <w:szCs w:val="22"/>
          <w:lang w:val="en-AU"/>
        </w:rPr>
        <w:t xml:space="preserve">The </w:t>
      </w:r>
      <w:r w:rsidRPr="006F2F5D">
        <w:rPr>
          <w:rFonts w:eastAsia="Arial" w:cs="Arial"/>
          <w:bCs/>
          <w:color w:val="1D1B11"/>
          <w:sz w:val="22"/>
          <w:szCs w:val="22"/>
        </w:rPr>
        <w:t>financial markets</w:t>
      </w:r>
      <w:r w:rsidR="006675A2">
        <w:rPr>
          <w:rFonts w:eastAsia="Arial" w:cs="Arial"/>
          <w:bCs/>
          <w:color w:val="1D1B11"/>
          <w:sz w:val="22"/>
          <w:szCs w:val="22"/>
        </w:rPr>
        <w:t xml:space="preserve"> again</w:t>
      </w:r>
      <w:r w:rsidRPr="006F2F5D">
        <w:rPr>
          <w:rFonts w:eastAsia="Arial" w:cs="Arial"/>
          <w:bCs/>
          <w:color w:val="1D1B11"/>
          <w:sz w:val="22"/>
          <w:szCs w:val="22"/>
        </w:rPr>
        <w:t xml:space="preserve"> swung round to expecting no change in Bank Rate. </w:t>
      </w:r>
    </w:p>
    <w:p w14:paraId="3580061A" w14:textId="77777777" w:rsidR="006F2F5D" w:rsidRPr="006F2F5D" w:rsidRDefault="006F2F5D" w:rsidP="00B738B4">
      <w:pPr>
        <w:ind w:left="720"/>
        <w:rPr>
          <w:rFonts w:eastAsia="Arial" w:cs="Arial"/>
          <w:bCs/>
          <w:color w:val="1D1B11"/>
          <w:sz w:val="22"/>
          <w:szCs w:val="22"/>
        </w:rPr>
      </w:pPr>
    </w:p>
    <w:p w14:paraId="0B76D9F5" w14:textId="654A9863" w:rsidR="006F2F5D" w:rsidRPr="006F2F5D" w:rsidRDefault="006F2F5D" w:rsidP="00B738B4">
      <w:pPr>
        <w:numPr>
          <w:ilvl w:val="0"/>
          <w:numId w:val="30"/>
        </w:numPr>
        <w:rPr>
          <w:rFonts w:eastAsia="Arial" w:cs="Arial"/>
          <w:bCs/>
          <w:color w:val="1D1B11"/>
          <w:sz w:val="22"/>
          <w:szCs w:val="22"/>
          <w:lang w:val="en-AU"/>
        </w:rPr>
      </w:pPr>
      <w:r w:rsidRPr="006F2F5D">
        <w:rPr>
          <w:rFonts w:eastAsia="Arial" w:cs="Arial"/>
          <w:b/>
          <w:bCs/>
          <w:color w:val="1D1B11"/>
          <w:sz w:val="22"/>
          <w:szCs w:val="22"/>
          <w:lang w:val="en-AU"/>
        </w:rPr>
        <w:t>On 15th December we had the</w:t>
      </w:r>
      <w:r w:rsidRPr="006F2F5D">
        <w:rPr>
          <w:rFonts w:eastAsia="Arial" w:cs="Arial"/>
          <w:bCs/>
          <w:color w:val="1D1B11"/>
          <w:sz w:val="22"/>
          <w:szCs w:val="22"/>
          <w:lang w:val="en-AU"/>
        </w:rPr>
        <w:t xml:space="preserve"> </w:t>
      </w:r>
      <w:r w:rsidRPr="006F2F5D">
        <w:rPr>
          <w:rFonts w:eastAsia="Arial" w:cs="Arial"/>
          <w:b/>
          <w:bCs/>
          <w:color w:val="1D1B11"/>
          <w:sz w:val="22"/>
          <w:szCs w:val="22"/>
          <w:lang w:val="en-AU"/>
        </w:rPr>
        <w:t>CPI inflation</w:t>
      </w:r>
      <w:r w:rsidRPr="006F2F5D">
        <w:rPr>
          <w:rFonts w:eastAsia="Arial" w:cs="Arial"/>
          <w:bCs/>
          <w:color w:val="1D1B11"/>
          <w:sz w:val="22"/>
          <w:szCs w:val="22"/>
          <w:lang w:val="en-AU"/>
        </w:rPr>
        <w:t xml:space="preserve"> figure for November which rose from 4.2% to 5.1%, confirming again how </w:t>
      </w:r>
      <w:r w:rsidR="006675A2">
        <w:rPr>
          <w:rFonts w:eastAsia="Arial" w:cs="Arial"/>
          <w:bCs/>
          <w:color w:val="1D1B11"/>
          <w:sz w:val="22"/>
          <w:szCs w:val="22"/>
          <w:lang w:val="en-AU"/>
        </w:rPr>
        <w:t xml:space="preserve">worldwide </w:t>
      </w:r>
      <w:r w:rsidRPr="006F2F5D">
        <w:rPr>
          <w:rFonts w:eastAsia="Arial" w:cs="Arial"/>
          <w:bCs/>
          <w:color w:val="1D1B11"/>
          <w:sz w:val="22"/>
          <w:szCs w:val="22"/>
          <w:lang w:val="en-AU"/>
        </w:rPr>
        <w:t xml:space="preserve">inflationary pressures have been building. However, Omicron also caused a sharp fall in world oil and other commodity prices; (gas and electricity inflation has generally accounted on average for about 60% of the increase in inflation in advanced western economies). </w:t>
      </w:r>
    </w:p>
    <w:p w14:paraId="69943C8E" w14:textId="77777777" w:rsidR="006F2F5D" w:rsidRPr="006F2F5D" w:rsidRDefault="006F2F5D" w:rsidP="00B738B4">
      <w:pPr>
        <w:ind w:left="720"/>
        <w:rPr>
          <w:rFonts w:eastAsia="Arial" w:cs="Arial"/>
          <w:bCs/>
          <w:color w:val="1D1B11"/>
          <w:sz w:val="22"/>
          <w:szCs w:val="22"/>
          <w:lang w:val="en-AU"/>
        </w:rPr>
      </w:pPr>
    </w:p>
    <w:p w14:paraId="76E40865" w14:textId="77777777" w:rsidR="006F2F5D" w:rsidRPr="006F2F5D" w:rsidRDefault="006F2F5D" w:rsidP="00B738B4">
      <w:pPr>
        <w:numPr>
          <w:ilvl w:val="0"/>
          <w:numId w:val="30"/>
        </w:numPr>
        <w:rPr>
          <w:rFonts w:eastAsia="Arial" w:cs="Arial"/>
          <w:bCs/>
          <w:color w:val="1D1B11"/>
          <w:sz w:val="22"/>
          <w:szCs w:val="22"/>
          <w:lang w:val="en-AU"/>
        </w:rPr>
      </w:pPr>
      <w:r w:rsidRPr="006F2F5D">
        <w:rPr>
          <w:rFonts w:eastAsia="Arial" w:cs="Arial"/>
          <w:b/>
          <w:bCs/>
          <w:color w:val="1D1B11"/>
          <w:sz w:val="22"/>
          <w:szCs w:val="22"/>
          <w:lang w:val="en-AU"/>
        </w:rPr>
        <w:lastRenderedPageBreak/>
        <w:t>Other elements of inflation are also transitory</w:t>
      </w:r>
      <w:r w:rsidRPr="006F2F5D">
        <w:rPr>
          <w:rFonts w:eastAsia="Arial" w:cs="Arial"/>
          <w:bCs/>
          <w:color w:val="1D1B11"/>
          <w:sz w:val="22"/>
          <w:szCs w:val="22"/>
          <w:lang w:val="en-AU"/>
        </w:rPr>
        <w:t xml:space="preserve"> e.g., prices of goods being forced up by supply shortages, and shortages of shipping containers due to ports being clogged have caused huge increases in shipping costs.  But these issues are likely to clear during 2022, and then prices will subside back to more normal levels.  Gas prices and electricity prices will also fall back once winter is passed and demand for these falls away. </w:t>
      </w:r>
    </w:p>
    <w:p w14:paraId="252311B7" w14:textId="77777777" w:rsidR="006F2F5D" w:rsidRPr="006F2F5D" w:rsidRDefault="006F2F5D" w:rsidP="00B738B4">
      <w:pPr>
        <w:ind w:left="720"/>
        <w:rPr>
          <w:rFonts w:eastAsia="Arial" w:cs="Arial"/>
          <w:bCs/>
          <w:color w:val="1D1B11"/>
          <w:sz w:val="22"/>
          <w:szCs w:val="22"/>
          <w:lang w:val="en-AU"/>
        </w:rPr>
      </w:pPr>
    </w:p>
    <w:p w14:paraId="6062899F" w14:textId="5207993F" w:rsidR="00FC6F63" w:rsidRDefault="006F2F5D" w:rsidP="00B738B4">
      <w:pPr>
        <w:numPr>
          <w:ilvl w:val="0"/>
          <w:numId w:val="30"/>
        </w:numPr>
        <w:rPr>
          <w:rFonts w:eastAsia="Arial" w:cs="Arial"/>
          <w:bCs/>
          <w:color w:val="1D1B11"/>
          <w:sz w:val="22"/>
          <w:szCs w:val="22"/>
          <w:lang w:val="en-AU"/>
        </w:rPr>
      </w:pPr>
      <w:r w:rsidRPr="004456EB">
        <w:rPr>
          <w:rFonts w:eastAsia="Arial" w:cs="Arial"/>
          <w:bCs/>
          <w:color w:val="1D1B11"/>
          <w:sz w:val="22"/>
          <w:szCs w:val="22"/>
          <w:lang w:val="en-AU"/>
        </w:rPr>
        <w:t xml:space="preserve">This is the adverse set of factors against which the MPC had to decide on Bank Rate. For the second month in a row, the MPC </w:t>
      </w:r>
      <w:r w:rsidR="004456EB" w:rsidRPr="004456EB">
        <w:rPr>
          <w:rFonts w:eastAsia="Arial" w:cs="Arial"/>
          <w:bCs/>
          <w:color w:val="1D1B11"/>
          <w:sz w:val="22"/>
          <w:szCs w:val="22"/>
          <w:lang w:val="en-AU"/>
        </w:rPr>
        <w:t>increased the Ba</w:t>
      </w:r>
      <w:r w:rsidRPr="004456EB">
        <w:rPr>
          <w:rFonts w:eastAsia="Arial" w:cs="Arial"/>
          <w:b/>
          <w:bCs/>
          <w:color w:val="1D1B11"/>
          <w:sz w:val="22"/>
          <w:szCs w:val="22"/>
          <w:lang w:val="en-AU"/>
        </w:rPr>
        <w:t>nk Rate from 0.10% to 0.25%.</w:t>
      </w:r>
      <w:r w:rsidRPr="004456EB">
        <w:rPr>
          <w:rFonts w:eastAsia="Arial" w:cs="Arial"/>
          <w:bCs/>
          <w:color w:val="1D1B11"/>
          <w:sz w:val="22"/>
          <w:szCs w:val="22"/>
          <w:lang w:val="en-AU"/>
        </w:rPr>
        <w:t xml:space="preserve">  </w:t>
      </w:r>
      <w:r w:rsidR="004456EB" w:rsidRPr="004456EB">
        <w:rPr>
          <w:rFonts w:eastAsia="Arial" w:cs="Arial"/>
          <w:bCs/>
          <w:color w:val="1D1B11"/>
          <w:sz w:val="22"/>
          <w:szCs w:val="22"/>
          <w:lang w:val="en-AU"/>
        </w:rPr>
        <w:t>In</w:t>
      </w:r>
      <w:r w:rsidR="00FC6F63" w:rsidRPr="004456EB">
        <w:rPr>
          <w:rFonts w:eastAsia="Arial" w:cs="Arial"/>
          <w:bCs/>
          <w:color w:val="1D1B11"/>
          <w:sz w:val="22"/>
          <w:szCs w:val="22"/>
          <w:lang w:val="en-AU"/>
        </w:rPr>
        <w:t xml:space="preserve">dications are </w:t>
      </w:r>
      <w:r w:rsidRPr="004456EB">
        <w:rPr>
          <w:rFonts w:eastAsia="Arial" w:cs="Arial"/>
          <w:bCs/>
          <w:color w:val="1D1B11"/>
          <w:sz w:val="22"/>
          <w:szCs w:val="22"/>
          <w:lang w:val="en-AU"/>
        </w:rPr>
        <w:t xml:space="preserve">that the MPC is now concerned that inflationary pressures are building and need concerted action by the MPC to counter. This indicates that there will be more increases to come with financial markets predicting 1% by the end of 2022. </w:t>
      </w:r>
    </w:p>
    <w:p w14:paraId="088EE786" w14:textId="77777777" w:rsidR="004456EB" w:rsidRPr="004456EB" w:rsidRDefault="004456EB" w:rsidP="00B738B4">
      <w:pPr>
        <w:rPr>
          <w:rFonts w:eastAsia="Arial" w:cs="Arial"/>
          <w:bCs/>
          <w:color w:val="1D1B11"/>
          <w:sz w:val="22"/>
          <w:szCs w:val="22"/>
          <w:lang w:val="en-AU"/>
        </w:rPr>
      </w:pPr>
    </w:p>
    <w:p w14:paraId="510EAE3B" w14:textId="3618E11F" w:rsidR="006F2F5D" w:rsidRPr="006F2F5D" w:rsidRDefault="004456EB" w:rsidP="00B738B4">
      <w:pPr>
        <w:numPr>
          <w:ilvl w:val="0"/>
          <w:numId w:val="30"/>
        </w:numPr>
        <w:rPr>
          <w:rFonts w:eastAsia="Arial" w:cs="Arial"/>
          <w:bCs/>
          <w:color w:val="1D1B11"/>
          <w:sz w:val="22"/>
          <w:szCs w:val="22"/>
        </w:rPr>
      </w:pPr>
      <w:r>
        <w:rPr>
          <w:rFonts w:eastAsia="Arial" w:cs="Arial"/>
          <w:bCs/>
          <w:color w:val="1D1B11"/>
          <w:sz w:val="22"/>
          <w:szCs w:val="22"/>
          <w:lang w:val="en-AU"/>
        </w:rPr>
        <w:t>I</w:t>
      </w:r>
      <w:r w:rsidR="006F2F5D" w:rsidRPr="006F2F5D">
        <w:rPr>
          <w:rFonts w:eastAsia="Arial" w:cs="Arial"/>
          <w:bCs/>
          <w:color w:val="1D1B11"/>
          <w:sz w:val="22"/>
          <w:szCs w:val="22"/>
          <w:lang w:val="en-AU"/>
        </w:rPr>
        <w:t xml:space="preserve">t did also comment that </w:t>
      </w:r>
      <w:r w:rsidR="006F2F5D" w:rsidRPr="006F2F5D">
        <w:rPr>
          <w:rFonts w:eastAsia="Arial" w:cs="Arial"/>
          <w:b/>
          <w:bCs/>
          <w:color w:val="1D1B11"/>
          <w:sz w:val="22"/>
          <w:szCs w:val="22"/>
          <w:lang w:val="en-AU"/>
        </w:rPr>
        <w:t>“the Omicron variant is likely to weigh on near-term activity”.</w:t>
      </w:r>
      <w:r w:rsidR="006F2F5D" w:rsidRPr="006F2F5D">
        <w:rPr>
          <w:rFonts w:eastAsia="Arial" w:cs="Arial"/>
          <w:bCs/>
          <w:color w:val="1D1B11"/>
          <w:sz w:val="22"/>
          <w:szCs w:val="22"/>
          <w:lang w:val="en-AU"/>
        </w:rPr>
        <w:t xml:space="preserve"> But it stressed that at the November meeting it had said it </w:t>
      </w:r>
      <w:r w:rsidR="006F2F5D" w:rsidRPr="006F2F5D">
        <w:rPr>
          <w:rFonts w:eastAsia="Arial" w:cs="Arial"/>
          <w:bCs/>
          <w:color w:val="1D1B11"/>
          <w:sz w:val="22"/>
          <w:szCs w:val="22"/>
          <w:u w:val="single"/>
          <w:lang w:val="en-AU"/>
        </w:rPr>
        <w:t>would</w:t>
      </w:r>
      <w:r w:rsidR="006F2F5D" w:rsidRPr="006F2F5D">
        <w:rPr>
          <w:rFonts w:eastAsia="Arial" w:cs="Arial"/>
          <w:bCs/>
          <w:color w:val="1D1B11"/>
          <w:sz w:val="22"/>
          <w:szCs w:val="22"/>
          <w:lang w:val="en-AU"/>
        </w:rPr>
        <w:t xml:space="preserve"> raise rates if the economy evolved as it expected and that now “these conditions had been met”.  It also appeared more worried about the possible boost to inflation f</w:t>
      </w:r>
      <w:r>
        <w:rPr>
          <w:rFonts w:eastAsia="Arial" w:cs="Arial"/>
          <w:bCs/>
          <w:color w:val="1D1B11"/>
          <w:sz w:val="22"/>
          <w:szCs w:val="22"/>
          <w:lang w:val="en-AU"/>
        </w:rPr>
        <w:t>r</w:t>
      </w:r>
      <w:r w:rsidR="006F2F5D" w:rsidRPr="006F2F5D">
        <w:rPr>
          <w:rFonts w:eastAsia="Arial" w:cs="Arial"/>
          <w:bCs/>
          <w:color w:val="1D1B11"/>
          <w:sz w:val="22"/>
          <w:szCs w:val="22"/>
          <w:lang w:val="en-AU"/>
        </w:rPr>
        <w:t>om Omicron itself. It said that “the current position of the global and</w:t>
      </w:r>
      <w:r w:rsidR="006F2F5D" w:rsidRPr="006F2F5D">
        <w:rPr>
          <w:rFonts w:eastAsia="Arial" w:cs="Arial"/>
          <w:bCs/>
          <w:color w:val="1D1B11"/>
          <w:sz w:val="22"/>
          <w:szCs w:val="22"/>
        </w:rPr>
        <w:t xml:space="preserve"> UK economies was materially different compared with prior to the onset of the pandemic, including elevated levels of consumer price inflation”. </w:t>
      </w:r>
    </w:p>
    <w:p w14:paraId="3B3EFC7A" w14:textId="77777777" w:rsidR="006F2F5D" w:rsidRPr="006F2F5D" w:rsidRDefault="006F2F5D" w:rsidP="00B738B4">
      <w:pPr>
        <w:ind w:left="720"/>
        <w:rPr>
          <w:rFonts w:eastAsia="Arial" w:cs="Arial"/>
          <w:bCs/>
          <w:color w:val="1D1B11"/>
          <w:sz w:val="22"/>
          <w:szCs w:val="22"/>
        </w:rPr>
      </w:pPr>
    </w:p>
    <w:p w14:paraId="7A68B580" w14:textId="77777777" w:rsidR="006F2F5D" w:rsidRPr="006F2F5D" w:rsidRDefault="006F2F5D" w:rsidP="00B738B4">
      <w:pPr>
        <w:numPr>
          <w:ilvl w:val="0"/>
          <w:numId w:val="30"/>
        </w:numPr>
        <w:rPr>
          <w:rFonts w:eastAsia="Arial" w:cs="Arial"/>
          <w:bCs/>
          <w:color w:val="1D1B11"/>
          <w:sz w:val="22"/>
          <w:szCs w:val="22"/>
        </w:rPr>
      </w:pPr>
      <w:r w:rsidRPr="006F2F5D">
        <w:rPr>
          <w:rFonts w:eastAsia="Arial" w:cs="Arial"/>
          <w:bCs/>
          <w:color w:val="1D1B11"/>
          <w:sz w:val="22"/>
          <w:szCs w:val="22"/>
        </w:rPr>
        <w:t xml:space="preserve">On top of that, there were no references this month to inflation being expected to be below the </w:t>
      </w:r>
      <w:r w:rsidRPr="006F2F5D">
        <w:rPr>
          <w:rFonts w:eastAsia="Arial" w:cs="Arial"/>
          <w:b/>
          <w:bCs/>
          <w:color w:val="1D1B11"/>
          <w:sz w:val="22"/>
          <w:szCs w:val="22"/>
        </w:rPr>
        <w:t>2% target in two years’ time,</w:t>
      </w:r>
      <w:r w:rsidRPr="006F2F5D">
        <w:rPr>
          <w:rFonts w:eastAsia="Arial" w:cs="Arial"/>
          <w:bCs/>
          <w:color w:val="1D1B11"/>
          <w:sz w:val="22"/>
          <w:szCs w:val="22"/>
        </w:rPr>
        <w:t xml:space="preserve"> which at November’s meeting the MPC referenced to suggest the markets had gone too far in expecting interest rates to rise to over 1.00% by the end of the year. </w:t>
      </w:r>
    </w:p>
    <w:p w14:paraId="1E07DFE5" w14:textId="77777777" w:rsidR="006F2F5D" w:rsidRPr="006F2F5D" w:rsidRDefault="006F2F5D" w:rsidP="00B738B4">
      <w:pPr>
        <w:ind w:left="720"/>
        <w:rPr>
          <w:rFonts w:eastAsia="Arial" w:cs="Arial"/>
          <w:bCs/>
          <w:color w:val="1D1B11"/>
          <w:sz w:val="22"/>
          <w:szCs w:val="22"/>
        </w:rPr>
      </w:pPr>
    </w:p>
    <w:p w14:paraId="2F25195A" w14:textId="73814457" w:rsidR="006F2F5D" w:rsidRPr="006F2F5D" w:rsidRDefault="006F2F5D" w:rsidP="00B738B4">
      <w:pPr>
        <w:numPr>
          <w:ilvl w:val="0"/>
          <w:numId w:val="30"/>
        </w:numPr>
        <w:rPr>
          <w:rFonts w:eastAsia="Arial" w:cs="Arial"/>
          <w:bCs/>
          <w:color w:val="1D1B11"/>
          <w:sz w:val="22"/>
          <w:szCs w:val="22"/>
        </w:rPr>
      </w:pPr>
      <w:r w:rsidRPr="006F2F5D">
        <w:rPr>
          <w:rFonts w:eastAsia="Arial" w:cs="Arial"/>
          <w:bCs/>
          <w:color w:val="1D1B11"/>
          <w:sz w:val="22"/>
          <w:szCs w:val="22"/>
        </w:rPr>
        <w:t xml:space="preserve">These comments indicate that there has been a material reappraisal by the MPC of the inflationary pressures since their last meeting and the Bank also increased its forecast for inflation to peak at 6% next April, rather than at 5% as of a month ago. However, as the Bank retained its guidance that only </w:t>
      </w:r>
      <w:r w:rsidRPr="006F2F5D">
        <w:rPr>
          <w:rFonts w:eastAsia="Arial" w:cs="Arial"/>
          <w:b/>
          <w:bCs/>
          <w:color w:val="1D1B11"/>
          <w:sz w:val="22"/>
          <w:szCs w:val="22"/>
        </w:rPr>
        <w:t>a “modest tightening”</w:t>
      </w:r>
      <w:r w:rsidRPr="006F2F5D">
        <w:rPr>
          <w:rFonts w:eastAsia="Arial" w:cs="Arial"/>
          <w:bCs/>
          <w:color w:val="1D1B11"/>
          <w:sz w:val="22"/>
          <w:szCs w:val="22"/>
        </w:rPr>
        <w:t xml:space="preserve"> in policy will be required, it cannot be thinking that it will need to increase interest rates that much more.  As such, the Bank could be thinking about raising interest rates two or three times next year to 0.75% or 1.00%.</w:t>
      </w:r>
    </w:p>
    <w:p w14:paraId="3D4A5E46" w14:textId="77777777" w:rsidR="006F2F5D" w:rsidRPr="006F2F5D" w:rsidRDefault="006F2F5D" w:rsidP="00B738B4">
      <w:pPr>
        <w:ind w:left="720"/>
        <w:rPr>
          <w:rFonts w:eastAsia="Arial" w:cs="Arial"/>
          <w:bCs/>
          <w:color w:val="1D1B11"/>
          <w:sz w:val="22"/>
          <w:szCs w:val="22"/>
        </w:rPr>
      </w:pPr>
    </w:p>
    <w:p w14:paraId="690F6F54" w14:textId="4127B4E4" w:rsidR="006F2F5D" w:rsidRPr="006F2F5D" w:rsidRDefault="006F2F5D" w:rsidP="00B738B4">
      <w:pPr>
        <w:numPr>
          <w:ilvl w:val="0"/>
          <w:numId w:val="30"/>
        </w:numPr>
        <w:rPr>
          <w:rFonts w:eastAsia="Arial" w:cs="Arial"/>
          <w:bCs/>
          <w:color w:val="1D1B11"/>
          <w:sz w:val="22"/>
          <w:szCs w:val="22"/>
        </w:rPr>
      </w:pPr>
      <w:r w:rsidRPr="006F2F5D">
        <w:rPr>
          <w:rFonts w:eastAsia="Arial" w:cs="Arial"/>
          <w:bCs/>
          <w:color w:val="1D1B11"/>
          <w:sz w:val="22"/>
          <w:szCs w:val="22"/>
        </w:rPr>
        <w:t xml:space="preserve">In as much as a considerable part of the inflationary pressures at the current time are indeed </w:t>
      </w:r>
      <w:r w:rsidRPr="006F2F5D">
        <w:rPr>
          <w:rFonts w:eastAsia="Arial" w:cs="Arial"/>
          <w:b/>
          <w:bCs/>
          <w:color w:val="1D1B11"/>
          <w:sz w:val="22"/>
          <w:szCs w:val="22"/>
        </w:rPr>
        <w:t>transitory,</w:t>
      </w:r>
      <w:r w:rsidRPr="006F2F5D">
        <w:rPr>
          <w:rFonts w:eastAsia="Arial" w:cs="Arial"/>
          <w:bCs/>
          <w:color w:val="1D1B11"/>
          <w:sz w:val="22"/>
          <w:szCs w:val="22"/>
        </w:rPr>
        <w:t xml:space="preserve"> and will naturally subside, this would appear to indicate that this tightening cycle is likely to be comparatively short. </w:t>
      </w:r>
    </w:p>
    <w:p w14:paraId="102EE9CC" w14:textId="77777777" w:rsidR="006F2F5D" w:rsidRPr="006F2F5D" w:rsidRDefault="006F2F5D" w:rsidP="00B738B4">
      <w:pPr>
        <w:ind w:left="720"/>
        <w:rPr>
          <w:rFonts w:eastAsia="Arial" w:cs="Arial"/>
          <w:bCs/>
          <w:color w:val="1D1B11"/>
          <w:sz w:val="22"/>
          <w:szCs w:val="22"/>
        </w:rPr>
      </w:pPr>
    </w:p>
    <w:p w14:paraId="72CBE962" w14:textId="77777777" w:rsidR="006F2F5D" w:rsidRPr="006F2F5D" w:rsidRDefault="006F2F5D" w:rsidP="00B738B4">
      <w:pPr>
        <w:numPr>
          <w:ilvl w:val="0"/>
          <w:numId w:val="30"/>
        </w:numPr>
        <w:rPr>
          <w:rFonts w:eastAsia="Arial" w:cs="Arial"/>
          <w:bCs/>
          <w:color w:val="1D1B11"/>
          <w:sz w:val="22"/>
          <w:szCs w:val="22"/>
        </w:rPr>
      </w:pPr>
      <w:r w:rsidRPr="006F2F5D">
        <w:rPr>
          <w:rFonts w:eastAsia="Arial" w:cs="Arial"/>
          <w:bCs/>
          <w:color w:val="1D1B11"/>
          <w:sz w:val="22"/>
          <w:szCs w:val="22"/>
        </w:rPr>
        <w:t xml:space="preserve">As for the timing of the next increase in Bank Rate, the MPC dropped the comment from November’s statement that Bank Rate would be raised “in the coming months”. That may </w:t>
      </w:r>
      <w:proofErr w:type="spellStart"/>
      <w:r w:rsidRPr="006F2F5D">
        <w:rPr>
          <w:rFonts w:eastAsia="Arial" w:cs="Arial"/>
          <w:bCs/>
          <w:color w:val="1D1B11"/>
          <w:sz w:val="22"/>
          <w:szCs w:val="22"/>
        </w:rPr>
        <w:t>imply</w:t>
      </w:r>
      <w:proofErr w:type="spellEnd"/>
      <w:r w:rsidRPr="006F2F5D">
        <w:rPr>
          <w:rFonts w:eastAsia="Arial" w:cs="Arial"/>
          <w:bCs/>
          <w:color w:val="1D1B11"/>
          <w:sz w:val="22"/>
          <w:szCs w:val="22"/>
        </w:rPr>
        <w:t xml:space="preserve"> another rise is unlikely at the next meeting in February and that May is more likely.  However, much could depend on how adversely, or not, the economy is affected by Omicron in the run up to the next meeting on 3</w:t>
      </w:r>
      <w:r w:rsidRPr="006F2F5D">
        <w:rPr>
          <w:rFonts w:eastAsia="Arial" w:cs="Arial"/>
          <w:bCs/>
          <w:color w:val="1D1B11"/>
          <w:sz w:val="22"/>
          <w:szCs w:val="22"/>
          <w:vertAlign w:val="superscript"/>
        </w:rPr>
        <w:t>rd</w:t>
      </w:r>
      <w:r w:rsidRPr="006F2F5D">
        <w:rPr>
          <w:rFonts w:eastAsia="Arial" w:cs="Arial"/>
          <w:bCs/>
          <w:color w:val="1D1B11"/>
          <w:sz w:val="22"/>
          <w:szCs w:val="22"/>
        </w:rPr>
        <w:t xml:space="preserve"> February.  Once 0.50% is reached, the Bank would act to start shrinking its stock of QE, (gilts purchased by the Bank would not be replaced when they mature).</w:t>
      </w:r>
    </w:p>
    <w:p w14:paraId="13C5503C" w14:textId="77777777" w:rsidR="006F2F5D" w:rsidRPr="006F2F5D" w:rsidRDefault="006F2F5D" w:rsidP="00B738B4">
      <w:pPr>
        <w:ind w:left="720"/>
        <w:rPr>
          <w:rFonts w:eastAsia="Arial" w:cs="Arial"/>
          <w:bCs/>
          <w:color w:val="1D1B11"/>
          <w:sz w:val="22"/>
          <w:szCs w:val="22"/>
        </w:rPr>
      </w:pPr>
    </w:p>
    <w:p w14:paraId="13A3DC8D" w14:textId="77777777" w:rsidR="006F2F5D" w:rsidRPr="006F2F5D" w:rsidRDefault="006F2F5D" w:rsidP="00B738B4">
      <w:pPr>
        <w:numPr>
          <w:ilvl w:val="0"/>
          <w:numId w:val="30"/>
        </w:numPr>
        <w:rPr>
          <w:rFonts w:eastAsia="Arial" w:cs="Arial"/>
          <w:bCs/>
          <w:color w:val="1D1B11"/>
          <w:sz w:val="22"/>
          <w:szCs w:val="22"/>
          <w:lang w:val="en-AU"/>
        </w:rPr>
      </w:pPr>
      <w:r w:rsidRPr="006F2F5D">
        <w:rPr>
          <w:rFonts w:eastAsia="Arial" w:cs="Arial"/>
          <w:b/>
          <w:bCs/>
          <w:color w:val="1D1B11"/>
          <w:sz w:val="22"/>
          <w:szCs w:val="22"/>
          <w:lang w:val="en-AU"/>
        </w:rPr>
        <w:t>The MPC’s forward guidance on its intended</w:t>
      </w:r>
      <w:r w:rsidRPr="006F2F5D">
        <w:rPr>
          <w:rFonts w:eastAsia="Arial" w:cs="Arial"/>
          <w:bCs/>
          <w:color w:val="1D1B11"/>
          <w:sz w:val="22"/>
          <w:szCs w:val="22"/>
          <w:lang w:val="en-AU"/>
        </w:rPr>
        <w:t xml:space="preserve"> </w:t>
      </w:r>
      <w:r w:rsidRPr="006F2F5D">
        <w:rPr>
          <w:rFonts w:eastAsia="Arial" w:cs="Arial"/>
          <w:b/>
          <w:bCs/>
          <w:color w:val="1D1B11"/>
          <w:sz w:val="22"/>
          <w:szCs w:val="22"/>
          <w:lang w:val="en-AU"/>
        </w:rPr>
        <w:t>monetary policy</w:t>
      </w:r>
      <w:r w:rsidRPr="006F2F5D">
        <w:rPr>
          <w:rFonts w:eastAsia="Arial" w:cs="Arial"/>
          <w:bCs/>
          <w:color w:val="1D1B11"/>
          <w:sz w:val="22"/>
          <w:szCs w:val="22"/>
          <w:lang w:val="en-AU"/>
        </w:rPr>
        <w:t xml:space="preserve"> on raising Bank Rate versus selling (quantitative easing) holdings of bonds is as follows: -</w:t>
      </w:r>
    </w:p>
    <w:p w14:paraId="1050BD08" w14:textId="77777777" w:rsidR="006F2F5D" w:rsidRPr="006F2F5D" w:rsidRDefault="006F2F5D" w:rsidP="00B738B4">
      <w:pPr>
        <w:pStyle w:val="ListParagraph"/>
        <w:numPr>
          <w:ilvl w:val="1"/>
          <w:numId w:val="30"/>
        </w:numPr>
        <w:contextualSpacing w:val="0"/>
        <w:rPr>
          <w:rFonts w:eastAsia="Arial" w:cs="Arial"/>
          <w:bCs/>
          <w:color w:val="1D1B11"/>
          <w:sz w:val="22"/>
          <w:szCs w:val="22"/>
          <w:lang w:val="en-AU"/>
        </w:rPr>
      </w:pPr>
      <w:r w:rsidRPr="006F2F5D">
        <w:rPr>
          <w:rFonts w:eastAsia="Arial" w:cs="Arial"/>
          <w:bCs/>
          <w:color w:val="1D1B11"/>
          <w:sz w:val="22"/>
          <w:szCs w:val="22"/>
          <w:lang w:val="en-AU"/>
        </w:rPr>
        <w:t>Raising Bank Rate as “the active instrument in most circumstances”.</w:t>
      </w:r>
    </w:p>
    <w:p w14:paraId="04708B0A" w14:textId="77777777" w:rsidR="006F2F5D" w:rsidRPr="006F2F5D" w:rsidRDefault="006F2F5D" w:rsidP="00B738B4">
      <w:pPr>
        <w:pStyle w:val="ListParagraph"/>
        <w:numPr>
          <w:ilvl w:val="1"/>
          <w:numId w:val="30"/>
        </w:numPr>
        <w:contextualSpacing w:val="0"/>
        <w:rPr>
          <w:rFonts w:eastAsia="Arial" w:cs="Arial"/>
          <w:bCs/>
          <w:color w:val="1D1B11"/>
          <w:sz w:val="22"/>
          <w:szCs w:val="22"/>
          <w:lang w:val="en-AU"/>
        </w:rPr>
      </w:pPr>
      <w:r w:rsidRPr="006F2F5D">
        <w:rPr>
          <w:rFonts w:eastAsia="Arial" w:cs="Arial"/>
          <w:bCs/>
          <w:color w:val="1D1B11"/>
          <w:sz w:val="22"/>
          <w:szCs w:val="22"/>
          <w:lang w:val="en-AU"/>
        </w:rPr>
        <w:t>Raising Bank Rate to 0.50% before starting on reducing its holdings.</w:t>
      </w:r>
    </w:p>
    <w:p w14:paraId="6C92BBC6" w14:textId="77777777" w:rsidR="006F2F5D" w:rsidRPr="006F2F5D" w:rsidRDefault="006F2F5D" w:rsidP="00B738B4">
      <w:pPr>
        <w:pStyle w:val="ListParagraph"/>
        <w:numPr>
          <w:ilvl w:val="1"/>
          <w:numId w:val="30"/>
        </w:numPr>
        <w:contextualSpacing w:val="0"/>
        <w:rPr>
          <w:rFonts w:eastAsia="Arial" w:cs="Arial"/>
          <w:bCs/>
          <w:color w:val="1D1B11"/>
          <w:sz w:val="22"/>
          <w:szCs w:val="22"/>
          <w:lang w:val="en-AU"/>
        </w:rPr>
      </w:pPr>
      <w:r w:rsidRPr="006F2F5D">
        <w:rPr>
          <w:rFonts w:eastAsia="Arial" w:cs="Arial"/>
          <w:bCs/>
          <w:color w:val="1D1B11"/>
          <w:sz w:val="22"/>
          <w:szCs w:val="22"/>
          <w:lang w:val="en-AU"/>
        </w:rPr>
        <w:t>Once Bank Rate is at 0.50% it would stop reinvesting maturing gilts.</w:t>
      </w:r>
    </w:p>
    <w:p w14:paraId="543A7D29" w14:textId="77777777" w:rsidR="006F2F5D" w:rsidRPr="006F2F5D" w:rsidRDefault="006F2F5D" w:rsidP="00B738B4">
      <w:pPr>
        <w:pStyle w:val="ListParagraph"/>
        <w:numPr>
          <w:ilvl w:val="1"/>
          <w:numId w:val="30"/>
        </w:numPr>
        <w:contextualSpacing w:val="0"/>
        <w:rPr>
          <w:rFonts w:eastAsia="Arial" w:cs="Arial"/>
          <w:bCs/>
          <w:color w:val="1D1B11"/>
          <w:sz w:val="22"/>
          <w:szCs w:val="22"/>
          <w:lang w:val="en-AU"/>
        </w:rPr>
      </w:pPr>
      <w:r w:rsidRPr="006F2F5D">
        <w:rPr>
          <w:rFonts w:eastAsia="Arial" w:cs="Arial"/>
          <w:bCs/>
          <w:color w:val="1D1B11"/>
          <w:sz w:val="22"/>
          <w:szCs w:val="22"/>
          <w:lang w:val="en-AU"/>
        </w:rPr>
        <w:t>Once Bank Rate had risen to at least 1%, it would start selling its holdings.</w:t>
      </w:r>
    </w:p>
    <w:bookmarkEnd w:id="2"/>
    <w:p w14:paraId="56BBE02C" w14:textId="77777777" w:rsidR="006F2F5D" w:rsidRPr="006F2F5D" w:rsidRDefault="006F2F5D" w:rsidP="00B738B4">
      <w:pPr>
        <w:ind w:left="360"/>
        <w:rPr>
          <w:rFonts w:eastAsia="Arial" w:cs="Arial"/>
          <w:bCs/>
          <w:color w:val="1D1B11"/>
          <w:sz w:val="22"/>
          <w:szCs w:val="22"/>
          <w:lang w:val="en-AU"/>
        </w:rPr>
      </w:pPr>
    </w:p>
    <w:bookmarkEnd w:id="0"/>
    <w:p w14:paraId="5752893F" w14:textId="3A89CE68" w:rsidR="006F2F5D" w:rsidRDefault="006F2F5D" w:rsidP="00B738B4">
      <w:pPr>
        <w:pStyle w:val="ListParagraph"/>
        <w:ind w:left="360"/>
        <w:contextualSpacing w:val="0"/>
      </w:pPr>
    </w:p>
    <w:p w14:paraId="53C050C9" w14:textId="13E8032B" w:rsidR="00DB77F7" w:rsidRDefault="00DB77F7" w:rsidP="00B738B4">
      <w:pPr>
        <w:pStyle w:val="ListParagraph"/>
        <w:ind w:left="360"/>
        <w:contextualSpacing w:val="0"/>
      </w:pPr>
    </w:p>
    <w:p w14:paraId="46CE3B6C" w14:textId="70CA7DEA" w:rsidR="00DB77F7" w:rsidRDefault="00DB77F7" w:rsidP="00B738B4">
      <w:pPr>
        <w:pStyle w:val="ListParagraph"/>
        <w:ind w:left="360"/>
        <w:contextualSpacing w:val="0"/>
      </w:pPr>
    </w:p>
    <w:p w14:paraId="234D787D" w14:textId="77777777" w:rsidR="00DB77F7" w:rsidRDefault="00DB77F7" w:rsidP="00B738B4">
      <w:pPr>
        <w:pStyle w:val="ListParagraph"/>
        <w:ind w:left="360"/>
        <w:contextualSpacing w:val="0"/>
      </w:pPr>
    </w:p>
    <w:p w14:paraId="2DFDB7FF" w14:textId="798874EB" w:rsidR="00DB77F7" w:rsidRDefault="00DB77F7" w:rsidP="00B738B4">
      <w:pPr>
        <w:pStyle w:val="ListParagraph"/>
        <w:ind w:left="360"/>
        <w:contextualSpacing w:val="0"/>
      </w:pPr>
    </w:p>
    <w:p w14:paraId="02FA5FEC" w14:textId="77777777" w:rsidR="00DB77F7" w:rsidRDefault="00DB77F7" w:rsidP="00B738B4">
      <w:pPr>
        <w:pStyle w:val="ListParagraph"/>
        <w:ind w:left="360"/>
        <w:contextualSpacing w:val="0"/>
      </w:pPr>
    </w:p>
    <w:p w14:paraId="5BF59258" w14:textId="77777777" w:rsidR="00326AED" w:rsidRPr="00326AED" w:rsidRDefault="00326AED" w:rsidP="00B738B4">
      <w:pPr>
        <w:rPr>
          <w:rFonts w:eastAsia="Calibri" w:cs="Arial"/>
          <w:b/>
          <w:sz w:val="22"/>
          <w:szCs w:val="22"/>
        </w:rPr>
      </w:pPr>
      <w:r w:rsidRPr="00326AED">
        <w:rPr>
          <w:rFonts w:eastAsia="Calibri" w:cs="Arial"/>
          <w:b/>
          <w:sz w:val="22"/>
          <w:szCs w:val="22"/>
        </w:rPr>
        <w:t>LINK TREASURY SERVICES INTEREST RATE FORECASTS</w:t>
      </w:r>
    </w:p>
    <w:p w14:paraId="76FC23C4" w14:textId="77777777" w:rsidR="00326AED" w:rsidRPr="00326AED" w:rsidRDefault="00326AED" w:rsidP="00B738B4">
      <w:pPr>
        <w:rPr>
          <w:rFonts w:eastAsia="Calibri" w:cs="Arial"/>
          <w:b/>
          <w:sz w:val="22"/>
          <w:szCs w:val="22"/>
        </w:rPr>
      </w:pPr>
    </w:p>
    <w:p w14:paraId="41F50253" w14:textId="77777777" w:rsidR="00326AED" w:rsidRPr="00326AED" w:rsidRDefault="00326AED" w:rsidP="00B738B4">
      <w:pPr>
        <w:rPr>
          <w:rFonts w:cs="Arial"/>
          <w:b/>
          <w:bCs/>
          <w:sz w:val="22"/>
          <w:szCs w:val="22"/>
        </w:rPr>
      </w:pPr>
      <w:r w:rsidRPr="00326AED">
        <w:rPr>
          <w:rFonts w:cs="Arial"/>
          <w:b/>
          <w:bCs/>
          <w:sz w:val="22"/>
          <w:szCs w:val="22"/>
        </w:rPr>
        <w:t>A SUMMARY OVERVIEW OF THE FUTURE PATH OF BANK RATE</w:t>
      </w:r>
    </w:p>
    <w:p w14:paraId="6F67082F" w14:textId="77777777" w:rsidR="00326AED" w:rsidRPr="00326AED" w:rsidRDefault="00326AED" w:rsidP="00B738B4">
      <w:pPr>
        <w:pStyle w:val="ListParagraph"/>
        <w:numPr>
          <w:ilvl w:val="0"/>
          <w:numId w:val="35"/>
        </w:numPr>
        <w:spacing w:line="259" w:lineRule="auto"/>
        <w:rPr>
          <w:rFonts w:cs="Arial"/>
          <w:sz w:val="22"/>
          <w:szCs w:val="22"/>
        </w:rPr>
      </w:pPr>
      <w:r w:rsidRPr="00326AED">
        <w:rPr>
          <w:rFonts w:cs="Arial"/>
          <w:sz w:val="22"/>
          <w:szCs w:val="22"/>
        </w:rPr>
        <w:t>The threat from Omicron was a matter of considerable national concern at the time of December’s MPC meeting; but is now seen as much reduced.</w:t>
      </w:r>
    </w:p>
    <w:p w14:paraId="5EB1F1B4" w14:textId="77777777" w:rsidR="00326AED" w:rsidRPr="00326AED" w:rsidRDefault="00326AED" w:rsidP="00B738B4">
      <w:pPr>
        <w:pStyle w:val="ListParagraph"/>
        <w:numPr>
          <w:ilvl w:val="0"/>
          <w:numId w:val="35"/>
        </w:numPr>
        <w:spacing w:line="259" w:lineRule="auto"/>
        <w:rPr>
          <w:rFonts w:cs="Arial"/>
          <w:sz w:val="22"/>
          <w:szCs w:val="22"/>
        </w:rPr>
      </w:pPr>
      <w:r w:rsidRPr="00326AED">
        <w:rPr>
          <w:rFonts w:cs="Arial"/>
          <w:sz w:val="22"/>
          <w:szCs w:val="22"/>
        </w:rPr>
        <w:t>The MPC shifted up a gear last week in raising Bank Rate by another 0.25% and narrowly avoiding making it a 0.50% increase by a 5-4 voting margin.</w:t>
      </w:r>
    </w:p>
    <w:p w14:paraId="6B925F54" w14:textId="77777777" w:rsidR="00326AED" w:rsidRPr="00326AED" w:rsidRDefault="00326AED" w:rsidP="00B738B4">
      <w:pPr>
        <w:pStyle w:val="ListParagraph"/>
        <w:numPr>
          <w:ilvl w:val="0"/>
          <w:numId w:val="35"/>
        </w:numPr>
        <w:spacing w:line="259" w:lineRule="auto"/>
        <w:rPr>
          <w:rFonts w:cs="Arial"/>
          <w:sz w:val="22"/>
          <w:szCs w:val="22"/>
        </w:rPr>
      </w:pPr>
      <w:r w:rsidRPr="00326AED">
        <w:rPr>
          <w:rFonts w:cs="Arial"/>
          <w:sz w:val="22"/>
          <w:szCs w:val="22"/>
        </w:rPr>
        <w:t>Our forecast now expects the MPC to deliver another 0.25% increase in March; their position appears to be to go for sharp increases to address the underlying issues quickly.</w:t>
      </w:r>
    </w:p>
    <w:p w14:paraId="69600AA8" w14:textId="77777777" w:rsidR="00326AED" w:rsidRPr="00326AED" w:rsidRDefault="00326AED" w:rsidP="00B738B4">
      <w:pPr>
        <w:pStyle w:val="ListParagraph"/>
        <w:numPr>
          <w:ilvl w:val="0"/>
          <w:numId w:val="35"/>
        </w:numPr>
        <w:spacing w:line="259" w:lineRule="auto"/>
        <w:rPr>
          <w:rFonts w:cs="Arial"/>
          <w:sz w:val="22"/>
          <w:szCs w:val="22"/>
        </w:rPr>
      </w:pPr>
      <w:r w:rsidRPr="00326AED">
        <w:rPr>
          <w:rFonts w:cs="Arial"/>
          <w:sz w:val="22"/>
          <w:szCs w:val="22"/>
        </w:rPr>
        <w:t>The March increase is likely to be followed by an increase to 1.0% in May and then to 1.25% in November.</w:t>
      </w:r>
    </w:p>
    <w:p w14:paraId="2485B3A9" w14:textId="77777777" w:rsidR="00326AED" w:rsidRPr="00326AED" w:rsidRDefault="00326AED" w:rsidP="00B738B4">
      <w:pPr>
        <w:pStyle w:val="ListParagraph"/>
        <w:numPr>
          <w:ilvl w:val="0"/>
          <w:numId w:val="35"/>
        </w:numPr>
        <w:spacing w:line="259" w:lineRule="auto"/>
        <w:rPr>
          <w:rFonts w:cs="Arial"/>
          <w:sz w:val="22"/>
          <w:szCs w:val="22"/>
        </w:rPr>
      </w:pPr>
      <w:r w:rsidRPr="00326AED">
        <w:rPr>
          <w:rFonts w:cs="Arial"/>
          <w:sz w:val="22"/>
          <w:szCs w:val="22"/>
        </w:rPr>
        <w:t>The MPC is currently much more heavily focused on combating inflation than on protecting economic growth.</w:t>
      </w:r>
    </w:p>
    <w:p w14:paraId="663E0AE4" w14:textId="2A622284" w:rsidR="00326AED" w:rsidRPr="00326AED" w:rsidRDefault="00326AED" w:rsidP="00B738B4">
      <w:pPr>
        <w:pStyle w:val="ListParagraph"/>
        <w:numPr>
          <w:ilvl w:val="0"/>
          <w:numId w:val="35"/>
        </w:numPr>
        <w:spacing w:line="259" w:lineRule="auto"/>
        <w:rPr>
          <w:rFonts w:cs="Arial"/>
          <w:sz w:val="22"/>
          <w:szCs w:val="22"/>
        </w:rPr>
      </w:pPr>
      <w:r w:rsidRPr="00326AED">
        <w:rPr>
          <w:rFonts w:cs="Arial"/>
          <w:sz w:val="22"/>
          <w:szCs w:val="22"/>
        </w:rPr>
        <w:t>The major question is whether the current spike in inflation will lead to a second-round effect in terms of labour demanding higher wages</w:t>
      </w:r>
      <w:r w:rsidR="004456EB">
        <w:rPr>
          <w:rFonts w:cs="Arial"/>
          <w:sz w:val="22"/>
          <w:szCs w:val="22"/>
        </w:rPr>
        <w:t>.</w:t>
      </w:r>
    </w:p>
    <w:p w14:paraId="7534B20E" w14:textId="77777777" w:rsidR="00326AED" w:rsidRPr="00326AED" w:rsidRDefault="00326AED" w:rsidP="00B738B4">
      <w:pPr>
        <w:pStyle w:val="ListParagraph"/>
        <w:numPr>
          <w:ilvl w:val="0"/>
          <w:numId w:val="35"/>
        </w:numPr>
        <w:spacing w:line="259" w:lineRule="auto"/>
        <w:rPr>
          <w:rFonts w:cs="Arial"/>
          <w:sz w:val="22"/>
          <w:szCs w:val="22"/>
        </w:rPr>
      </w:pPr>
      <w:r w:rsidRPr="00326AED">
        <w:rPr>
          <w:rFonts w:cs="Arial"/>
          <w:sz w:val="22"/>
          <w:szCs w:val="22"/>
        </w:rPr>
        <w:t xml:space="preserve">If the labour market remains very tight during 2022, then wage inflation poses a greater threat to overall inflation being higher for longer, and the MPC may then feel it needs to take more action. </w:t>
      </w:r>
    </w:p>
    <w:p w14:paraId="019FAC24" w14:textId="77777777" w:rsidR="00326AED" w:rsidRPr="00326AED" w:rsidRDefault="00326AED" w:rsidP="00B738B4">
      <w:pPr>
        <w:rPr>
          <w:rFonts w:cs="Arial"/>
          <w:sz w:val="22"/>
          <w:szCs w:val="22"/>
        </w:rPr>
      </w:pPr>
    </w:p>
    <w:p w14:paraId="659B87AA" w14:textId="77777777" w:rsidR="00326AED" w:rsidRPr="00326AED" w:rsidRDefault="00326AED" w:rsidP="00B738B4">
      <w:pPr>
        <w:rPr>
          <w:rFonts w:cs="Arial"/>
          <w:b/>
          <w:bCs/>
          <w:sz w:val="22"/>
          <w:szCs w:val="22"/>
        </w:rPr>
      </w:pPr>
      <w:r w:rsidRPr="00326AED">
        <w:rPr>
          <w:rFonts w:cs="Arial"/>
          <w:b/>
          <w:bCs/>
          <w:sz w:val="22"/>
          <w:szCs w:val="22"/>
        </w:rPr>
        <w:t>PWLB RATES</w:t>
      </w:r>
    </w:p>
    <w:p w14:paraId="1AB07381" w14:textId="77777777" w:rsidR="00326AED" w:rsidRPr="00326AED" w:rsidRDefault="00326AED" w:rsidP="00B738B4">
      <w:pPr>
        <w:pStyle w:val="ListParagraph"/>
        <w:numPr>
          <w:ilvl w:val="0"/>
          <w:numId w:val="36"/>
        </w:numPr>
        <w:spacing w:line="259" w:lineRule="auto"/>
        <w:rPr>
          <w:rFonts w:cs="Arial"/>
          <w:sz w:val="22"/>
          <w:szCs w:val="22"/>
        </w:rPr>
      </w:pPr>
      <w:r w:rsidRPr="00326AED">
        <w:rPr>
          <w:rFonts w:cs="Arial"/>
          <w:sz w:val="22"/>
          <w:szCs w:val="22"/>
        </w:rPr>
        <w:t>The yield curve has flattened out considerably.</w:t>
      </w:r>
    </w:p>
    <w:p w14:paraId="7E4BECA2" w14:textId="77777777" w:rsidR="00326AED" w:rsidRPr="00326AED" w:rsidRDefault="00326AED" w:rsidP="00B738B4">
      <w:pPr>
        <w:pStyle w:val="ListParagraph"/>
        <w:numPr>
          <w:ilvl w:val="0"/>
          <w:numId w:val="36"/>
        </w:numPr>
        <w:spacing w:line="259" w:lineRule="auto"/>
        <w:rPr>
          <w:rFonts w:cs="Arial"/>
          <w:sz w:val="22"/>
          <w:szCs w:val="22"/>
        </w:rPr>
      </w:pPr>
      <w:r w:rsidRPr="00326AED">
        <w:rPr>
          <w:rFonts w:cs="Arial"/>
          <w:sz w:val="22"/>
          <w:szCs w:val="22"/>
        </w:rPr>
        <w:t>We view the markets as having built in, already, nearly all the effects on gilt yields of the likely increases in Bank Rate.</w:t>
      </w:r>
    </w:p>
    <w:p w14:paraId="41C1FBB6" w14:textId="77777777" w:rsidR="00326AED" w:rsidRPr="00326AED" w:rsidRDefault="00326AED" w:rsidP="00B738B4">
      <w:pPr>
        <w:pStyle w:val="ListParagraph"/>
        <w:numPr>
          <w:ilvl w:val="0"/>
          <w:numId w:val="36"/>
        </w:numPr>
        <w:spacing w:line="259" w:lineRule="auto"/>
        <w:rPr>
          <w:rFonts w:cs="Arial"/>
          <w:sz w:val="22"/>
          <w:szCs w:val="22"/>
        </w:rPr>
      </w:pPr>
      <w:r w:rsidRPr="00326AED">
        <w:rPr>
          <w:rFonts w:cs="Arial"/>
          <w:sz w:val="22"/>
          <w:szCs w:val="22"/>
        </w:rPr>
        <w:t xml:space="preserve">It is difficult to say currently what effect the Bank of England starting to sell gilts will have on gilt yields once Bank Rate rises to 1%: it is likely to act cautiously as it has already started on not refinancing maturing debt. A passive process of not refinancing maturing debt could begin in March when the 4% 2022 gilt matures; the Bank owns £25bn of this issuance. A pure roll-off of the £875bn gilt portfolio by not refinancing bonds as they mature, would see the holdings fall to about £415bn by 2031, which would be about equal to the Bank’s pre-pandemic holding. Last August, the Bank said it would not actively sell gilts until the “Bank Rate had risen to at least 1%” and, “depending on economic circumstances at the time.” </w:t>
      </w:r>
    </w:p>
    <w:p w14:paraId="49E24E82" w14:textId="77777777" w:rsidR="00326AED" w:rsidRPr="00326AED" w:rsidRDefault="00326AED" w:rsidP="00B738B4">
      <w:pPr>
        <w:pStyle w:val="ListParagraph"/>
        <w:numPr>
          <w:ilvl w:val="0"/>
          <w:numId w:val="36"/>
        </w:numPr>
        <w:spacing w:line="259" w:lineRule="auto"/>
        <w:rPr>
          <w:rFonts w:cs="Arial"/>
          <w:sz w:val="22"/>
          <w:szCs w:val="22"/>
        </w:rPr>
      </w:pPr>
      <w:r w:rsidRPr="00326AED">
        <w:rPr>
          <w:rFonts w:cs="Arial"/>
          <w:sz w:val="22"/>
          <w:szCs w:val="22"/>
        </w:rPr>
        <w:t>It is possible that Bank Rate will not rise above 1% as the MPC could shift to relying on quantitative tightening (QT) to do the further work of taking steam out of the economy and reducing inflationary pressures.</w:t>
      </w:r>
    </w:p>
    <w:p w14:paraId="08F3F0E6" w14:textId="11D2E8FD" w:rsidR="00326AED" w:rsidRDefault="00326AED" w:rsidP="00B738B4">
      <w:pPr>
        <w:rPr>
          <w:rFonts w:cs="Arial"/>
          <w:sz w:val="22"/>
          <w:szCs w:val="22"/>
        </w:rPr>
      </w:pPr>
    </w:p>
    <w:p w14:paraId="29364B81" w14:textId="4CCC4BB4" w:rsidR="00326AED" w:rsidRPr="00326AED" w:rsidRDefault="00326AED" w:rsidP="00B738B4">
      <w:pPr>
        <w:rPr>
          <w:rFonts w:cs="Arial"/>
          <w:b/>
          <w:bCs/>
          <w:sz w:val="22"/>
          <w:szCs w:val="22"/>
        </w:rPr>
      </w:pPr>
      <w:r w:rsidRPr="00326AED">
        <w:rPr>
          <w:rFonts w:cs="Arial"/>
          <w:b/>
          <w:bCs/>
          <w:sz w:val="22"/>
          <w:szCs w:val="22"/>
        </w:rPr>
        <w:t>MPC MEETING 4TH FEBRUARY 2022</w:t>
      </w:r>
    </w:p>
    <w:p w14:paraId="22FB6862" w14:textId="3C16CE3B" w:rsidR="00326AED" w:rsidRPr="00326AED" w:rsidRDefault="00326AED" w:rsidP="00B738B4">
      <w:pPr>
        <w:pStyle w:val="ListParagraph"/>
        <w:numPr>
          <w:ilvl w:val="0"/>
          <w:numId w:val="37"/>
        </w:numPr>
        <w:spacing w:line="259" w:lineRule="auto"/>
        <w:rPr>
          <w:rFonts w:cs="Arial"/>
          <w:sz w:val="22"/>
          <w:szCs w:val="22"/>
        </w:rPr>
      </w:pPr>
      <w:r w:rsidRPr="00326AED">
        <w:rPr>
          <w:rFonts w:cs="Arial"/>
          <w:sz w:val="22"/>
          <w:szCs w:val="22"/>
        </w:rPr>
        <w:t>After the Bank of England became the first major western central bank to put interest rates up in this upswing in December, it has quickly followed up its first 0.15% rise by another 0.25% rise to 0.50%, in the second of what is likely to be a series of increases during 2022.</w:t>
      </w:r>
    </w:p>
    <w:p w14:paraId="21E04D3F" w14:textId="77777777" w:rsidR="00326AED" w:rsidRPr="00326AED" w:rsidRDefault="00326AED" w:rsidP="00B738B4">
      <w:pPr>
        <w:pStyle w:val="ListParagraph"/>
        <w:numPr>
          <w:ilvl w:val="0"/>
          <w:numId w:val="37"/>
        </w:numPr>
        <w:spacing w:line="259" w:lineRule="auto"/>
        <w:rPr>
          <w:rFonts w:cs="Arial"/>
          <w:sz w:val="22"/>
          <w:szCs w:val="22"/>
        </w:rPr>
      </w:pPr>
      <w:r w:rsidRPr="00326AED">
        <w:rPr>
          <w:rFonts w:cs="Arial"/>
          <w:sz w:val="22"/>
          <w:szCs w:val="22"/>
        </w:rPr>
        <w:t>The Monetary Policy Committee voted by a majority of 5-4 to increase Bank Rate by 25bps to 0.5% with the minority preferring to increase Bank Rate by 50bps to 0.75%. The Committee also voted unanimously for the following: -</w:t>
      </w:r>
    </w:p>
    <w:p w14:paraId="350034F7" w14:textId="77777777" w:rsidR="00326AED" w:rsidRPr="00326AED" w:rsidRDefault="00326AED" w:rsidP="00B738B4">
      <w:pPr>
        <w:pStyle w:val="ListParagraph"/>
        <w:numPr>
          <w:ilvl w:val="0"/>
          <w:numId w:val="38"/>
        </w:numPr>
        <w:spacing w:line="259" w:lineRule="auto"/>
        <w:rPr>
          <w:rFonts w:cs="Arial"/>
          <w:sz w:val="22"/>
          <w:szCs w:val="22"/>
        </w:rPr>
      </w:pPr>
      <w:r w:rsidRPr="00326AED">
        <w:rPr>
          <w:rFonts w:cs="Arial"/>
          <w:sz w:val="22"/>
          <w:szCs w:val="22"/>
        </w:rPr>
        <w:t xml:space="preserve">to reduce the £875n stock of UK government bond purchases, financed by the issuance of central bank reserves, by ceasing to reinvest maturing assets. </w:t>
      </w:r>
    </w:p>
    <w:p w14:paraId="63FCC1B8" w14:textId="77777777" w:rsidR="00326AED" w:rsidRPr="00326AED" w:rsidRDefault="00326AED" w:rsidP="00B738B4">
      <w:pPr>
        <w:pStyle w:val="ListParagraph"/>
        <w:numPr>
          <w:ilvl w:val="0"/>
          <w:numId w:val="38"/>
        </w:numPr>
        <w:spacing w:line="259" w:lineRule="auto"/>
        <w:rPr>
          <w:rFonts w:cs="Arial"/>
          <w:sz w:val="22"/>
          <w:szCs w:val="22"/>
        </w:rPr>
      </w:pPr>
      <w:r w:rsidRPr="00326AED">
        <w:rPr>
          <w:rFonts w:cs="Arial"/>
          <w:sz w:val="22"/>
          <w:szCs w:val="22"/>
        </w:rPr>
        <w:t>to begin to reduce the £20bn stock of sterling non-financial investment-grade corporate bond purchases by ceasing to reinvest maturing assets and by a programme of corporate bond sales to be completed no earlier than towards the end of 2023.</w:t>
      </w:r>
    </w:p>
    <w:p w14:paraId="72A08F73" w14:textId="77777777" w:rsidR="00326AED" w:rsidRPr="00326AED" w:rsidRDefault="00326AED" w:rsidP="00B738B4">
      <w:pPr>
        <w:pStyle w:val="ListParagraph"/>
        <w:numPr>
          <w:ilvl w:val="0"/>
          <w:numId w:val="39"/>
        </w:numPr>
        <w:spacing w:line="259" w:lineRule="auto"/>
        <w:rPr>
          <w:rFonts w:cs="Arial"/>
          <w:sz w:val="22"/>
          <w:szCs w:val="22"/>
        </w:rPr>
      </w:pPr>
      <w:r w:rsidRPr="00326AED">
        <w:rPr>
          <w:rFonts w:cs="Arial"/>
          <w:sz w:val="22"/>
          <w:szCs w:val="22"/>
        </w:rPr>
        <w:t xml:space="preserve">The Bank again sharply increased its forecast for inflation – to now reach a peak of 7.25% in April, well above its 2% target. </w:t>
      </w:r>
    </w:p>
    <w:p w14:paraId="14AC264A" w14:textId="77777777" w:rsidR="00326AED" w:rsidRPr="00326AED" w:rsidRDefault="00326AED" w:rsidP="00B738B4">
      <w:pPr>
        <w:pStyle w:val="ListParagraph"/>
        <w:numPr>
          <w:ilvl w:val="0"/>
          <w:numId w:val="39"/>
        </w:numPr>
        <w:spacing w:line="259" w:lineRule="auto"/>
        <w:rPr>
          <w:rFonts w:cs="Arial"/>
          <w:sz w:val="22"/>
          <w:szCs w:val="22"/>
        </w:rPr>
      </w:pPr>
      <w:r w:rsidRPr="00326AED">
        <w:rPr>
          <w:rFonts w:cs="Arial"/>
          <w:sz w:val="22"/>
          <w:szCs w:val="22"/>
        </w:rPr>
        <w:t xml:space="preserve">The Bank estimated that UK GDP rose by 1.1% in quarter 4 of 2021 but, because of the effect of Omicron, GDP would be flat in quarter 1, but with the economy recovering during February and March. Due to the hit to households’ real incomes from higher inflation, it revised down its GDP growth forecast for 2022 from 3.75% to 3.25%. </w:t>
      </w:r>
    </w:p>
    <w:p w14:paraId="2B45B3EF" w14:textId="731435C8" w:rsidR="00326AED" w:rsidRPr="00326AED" w:rsidRDefault="00326AED" w:rsidP="00B738B4">
      <w:pPr>
        <w:pStyle w:val="ListParagraph"/>
        <w:numPr>
          <w:ilvl w:val="0"/>
          <w:numId w:val="39"/>
        </w:numPr>
        <w:spacing w:line="259" w:lineRule="auto"/>
        <w:rPr>
          <w:rFonts w:cs="Arial"/>
          <w:sz w:val="22"/>
          <w:szCs w:val="22"/>
        </w:rPr>
      </w:pPr>
      <w:r w:rsidRPr="00326AED">
        <w:rPr>
          <w:rFonts w:cs="Arial"/>
          <w:sz w:val="22"/>
          <w:szCs w:val="22"/>
        </w:rPr>
        <w:t>The Bank is concerned at how tight the labour market is with vacancies at near record levels and a general shortage of workers.</w:t>
      </w:r>
    </w:p>
    <w:p w14:paraId="2C14A381" w14:textId="77777777" w:rsidR="00326AED" w:rsidRPr="00326AED" w:rsidRDefault="00326AED" w:rsidP="00B738B4">
      <w:pPr>
        <w:pStyle w:val="ListParagraph"/>
        <w:numPr>
          <w:ilvl w:val="0"/>
          <w:numId w:val="39"/>
        </w:numPr>
        <w:spacing w:line="259" w:lineRule="auto"/>
        <w:rPr>
          <w:rFonts w:cs="Arial"/>
          <w:sz w:val="22"/>
          <w:szCs w:val="22"/>
        </w:rPr>
      </w:pPr>
      <w:r w:rsidRPr="00326AED">
        <w:rPr>
          <w:rFonts w:cs="Arial"/>
          <w:sz w:val="22"/>
          <w:szCs w:val="22"/>
        </w:rPr>
        <w:t>As in the December 2021 MPC meeting, the MPC was more concerned with combating inflation over the medium term than supporting economic growth in the short term. However, what was notable was the Bank’s forecast for inflation: based on the markets’ expectations that Bank Rate will rise to 1.50% by mid-2023, it forecast inflation to be only 1.6% in three years’ time.  In addition, if energy prices beyond the next six months fell as the futures market suggests, the Bank said CPI inflation in three years’ time would be even lower at 1.25%. With calculations of inflation, the key point to keep in mind is that it is the rate of change in prices – not the level – that matters.  Accordingly, even if oil and natural gas prices remain flat at their current elevated level, energy’s contribution to headline inflation will drop back over the course of this year. That means the current energy contribution to CPI inflation, of 2% to 3%, will gradually fade over the next year.</w:t>
      </w:r>
    </w:p>
    <w:p w14:paraId="2ED150E0" w14:textId="77777777" w:rsidR="00326AED" w:rsidRPr="00326AED" w:rsidRDefault="00326AED" w:rsidP="00B738B4">
      <w:pPr>
        <w:pStyle w:val="ListParagraph"/>
        <w:numPr>
          <w:ilvl w:val="0"/>
          <w:numId w:val="39"/>
        </w:numPr>
        <w:spacing w:line="259" w:lineRule="auto"/>
        <w:rPr>
          <w:rFonts w:cs="Arial"/>
          <w:sz w:val="22"/>
          <w:szCs w:val="22"/>
        </w:rPr>
      </w:pPr>
      <w:r w:rsidRPr="00326AED">
        <w:rPr>
          <w:rFonts w:cs="Arial"/>
          <w:sz w:val="22"/>
          <w:szCs w:val="22"/>
        </w:rPr>
        <w:t>So the message to take away from the Bank’s forecast is that they do not expect Bank Rate to rise to 1.5% in order to hit their target of CPI inflation of 2%. The immediate issue is with four members having voted for a 0.50% increase in February, it would only take one member more for there to be another 0.25% increase at the March meeting.</w:t>
      </w:r>
    </w:p>
    <w:p w14:paraId="2F186004" w14:textId="77777777" w:rsidR="00326AED" w:rsidRPr="00326AED" w:rsidRDefault="00326AED" w:rsidP="00B738B4">
      <w:pPr>
        <w:rPr>
          <w:rFonts w:cs="Arial"/>
          <w:sz w:val="22"/>
          <w:szCs w:val="22"/>
        </w:rPr>
      </w:pPr>
    </w:p>
    <w:p w14:paraId="55284D99" w14:textId="77777777" w:rsidR="00326AED" w:rsidRPr="00326AED" w:rsidRDefault="00326AED" w:rsidP="00B738B4">
      <w:pPr>
        <w:rPr>
          <w:rFonts w:cs="Arial"/>
          <w:sz w:val="22"/>
          <w:szCs w:val="22"/>
        </w:rPr>
      </w:pPr>
      <w:r w:rsidRPr="00326AED">
        <w:rPr>
          <w:rFonts w:cs="Arial"/>
          <w:b/>
          <w:bCs/>
          <w:sz w:val="22"/>
          <w:szCs w:val="22"/>
        </w:rPr>
        <w:t>The MPC’s forward guidance on its intended monetary policy</w:t>
      </w:r>
      <w:r w:rsidRPr="00326AED">
        <w:rPr>
          <w:rFonts w:cs="Arial"/>
          <w:sz w:val="22"/>
          <w:szCs w:val="22"/>
        </w:rPr>
        <w:t xml:space="preserve"> on raising Bank Rate versus selling (quantitative tightening) holdings of bonds is as follows: -</w:t>
      </w:r>
    </w:p>
    <w:p w14:paraId="0635BFC0" w14:textId="77777777" w:rsidR="00326AED" w:rsidRPr="00326AED" w:rsidRDefault="00326AED" w:rsidP="00B738B4">
      <w:pPr>
        <w:pStyle w:val="ListParagraph"/>
        <w:numPr>
          <w:ilvl w:val="0"/>
          <w:numId w:val="40"/>
        </w:numPr>
        <w:spacing w:line="259" w:lineRule="auto"/>
        <w:rPr>
          <w:rFonts w:cs="Arial"/>
          <w:sz w:val="22"/>
          <w:szCs w:val="22"/>
        </w:rPr>
      </w:pPr>
      <w:r w:rsidRPr="00326AED">
        <w:rPr>
          <w:rFonts w:cs="Arial"/>
          <w:sz w:val="22"/>
          <w:szCs w:val="22"/>
        </w:rPr>
        <w:t>Raising Bank Rate as “the active instrument in most circumstances”.</w:t>
      </w:r>
    </w:p>
    <w:p w14:paraId="5709E212" w14:textId="77777777" w:rsidR="00326AED" w:rsidRPr="00326AED" w:rsidRDefault="00326AED" w:rsidP="00B738B4">
      <w:pPr>
        <w:pStyle w:val="ListParagraph"/>
        <w:numPr>
          <w:ilvl w:val="0"/>
          <w:numId w:val="40"/>
        </w:numPr>
        <w:spacing w:line="259" w:lineRule="auto"/>
        <w:rPr>
          <w:rFonts w:cs="Arial"/>
          <w:sz w:val="22"/>
          <w:szCs w:val="22"/>
        </w:rPr>
      </w:pPr>
      <w:r w:rsidRPr="00326AED">
        <w:rPr>
          <w:rFonts w:cs="Arial"/>
          <w:sz w:val="22"/>
          <w:szCs w:val="22"/>
        </w:rPr>
        <w:t>Raising Bank Rate to 0.50% before starting on reducing its holdings.</w:t>
      </w:r>
    </w:p>
    <w:p w14:paraId="3132A4A8" w14:textId="77777777" w:rsidR="00326AED" w:rsidRPr="00326AED" w:rsidRDefault="00326AED" w:rsidP="00B738B4">
      <w:pPr>
        <w:pStyle w:val="ListParagraph"/>
        <w:numPr>
          <w:ilvl w:val="0"/>
          <w:numId w:val="40"/>
        </w:numPr>
        <w:spacing w:line="259" w:lineRule="auto"/>
        <w:rPr>
          <w:rFonts w:cs="Arial"/>
          <w:sz w:val="22"/>
          <w:szCs w:val="22"/>
        </w:rPr>
      </w:pPr>
      <w:r w:rsidRPr="00326AED">
        <w:rPr>
          <w:rFonts w:cs="Arial"/>
          <w:sz w:val="22"/>
          <w:szCs w:val="22"/>
        </w:rPr>
        <w:t>Once Bank Rate is at 0.50% it would stop reinvesting maturing gilts.</w:t>
      </w:r>
    </w:p>
    <w:p w14:paraId="7EE38BE2" w14:textId="77777777" w:rsidR="00326AED" w:rsidRPr="00326AED" w:rsidRDefault="00326AED" w:rsidP="00B738B4">
      <w:pPr>
        <w:pStyle w:val="ListParagraph"/>
        <w:numPr>
          <w:ilvl w:val="0"/>
          <w:numId w:val="40"/>
        </w:numPr>
        <w:spacing w:line="259" w:lineRule="auto"/>
        <w:rPr>
          <w:rFonts w:cs="Arial"/>
          <w:sz w:val="22"/>
          <w:szCs w:val="22"/>
        </w:rPr>
      </w:pPr>
      <w:r w:rsidRPr="00326AED">
        <w:rPr>
          <w:rFonts w:cs="Arial"/>
          <w:sz w:val="22"/>
          <w:szCs w:val="22"/>
        </w:rPr>
        <w:t>Once Bank Rate had risen to at least 1%, it would start selling its holdings.</w:t>
      </w:r>
    </w:p>
    <w:p w14:paraId="7A7A488C" w14:textId="77777777" w:rsidR="00326AED" w:rsidRPr="00326AED" w:rsidRDefault="00326AED" w:rsidP="00B738B4">
      <w:pPr>
        <w:rPr>
          <w:rFonts w:cs="Arial"/>
          <w:sz w:val="22"/>
          <w:szCs w:val="22"/>
        </w:rPr>
      </w:pPr>
    </w:p>
    <w:p w14:paraId="403E0EFB" w14:textId="77777777" w:rsidR="00326AED" w:rsidRPr="00326AED" w:rsidRDefault="00326AED" w:rsidP="00B738B4">
      <w:pPr>
        <w:rPr>
          <w:rFonts w:cs="Arial"/>
          <w:b/>
          <w:bCs/>
          <w:sz w:val="22"/>
          <w:szCs w:val="22"/>
        </w:rPr>
      </w:pPr>
      <w:r w:rsidRPr="00326AED">
        <w:rPr>
          <w:rFonts w:cs="Arial"/>
          <w:b/>
          <w:bCs/>
          <w:sz w:val="22"/>
          <w:szCs w:val="22"/>
        </w:rPr>
        <w:t>OUR FORECASTS</w:t>
      </w:r>
    </w:p>
    <w:p w14:paraId="27D19138" w14:textId="77777777" w:rsidR="00326AED" w:rsidRPr="00326AED" w:rsidRDefault="00326AED" w:rsidP="00B738B4">
      <w:pPr>
        <w:rPr>
          <w:rFonts w:cs="Arial"/>
          <w:sz w:val="22"/>
          <w:szCs w:val="22"/>
        </w:rPr>
      </w:pPr>
    </w:p>
    <w:p w14:paraId="2DBCE99C" w14:textId="77777777" w:rsidR="00326AED" w:rsidRPr="00326AED" w:rsidRDefault="00326AED" w:rsidP="00B738B4">
      <w:pPr>
        <w:rPr>
          <w:rFonts w:cs="Arial"/>
          <w:b/>
          <w:bCs/>
          <w:sz w:val="22"/>
          <w:szCs w:val="22"/>
        </w:rPr>
      </w:pPr>
      <w:r w:rsidRPr="00326AED">
        <w:rPr>
          <w:rFonts w:cs="Arial"/>
          <w:b/>
          <w:bCs/>
          <w:sz w:val="22"/>
          <w:szCs w:val="22"/>
        </w:rPr>
        <w:t>a.</w:t>
      </w:r>
      <w:r w:rsidRPr="00326AED">
        <w:rPr>
          <w:rFonts w:cs="Arial"/>
          <w:b/>
          <w:bCs/>
          <w:sz w:val="22"/>
          <w:szCs w:val="22"/>
        </w:rPr>
        <w:tab/>
        <w:t>Bank Rate</w:t>
      </w:r>
    </w:p>
    <w:p w14:paraId="435ADE76" w14:textId="77777777" w:rsidR="00326AED" w:rsidRPr="00326AED" w:rsidRDefault="00326AED" w:rsidP="00B738B4">
      <w:pPr>
        <w:pStyle w:val="ListParagraph"/>
        <w:numPr>
          <w:ilvl w:val="0"/>
          <w:numId w:val="41"/>
        </w:numPr>
        <w:spacing w:line="259" w:lineRule="auto"/>
        <w:rPr>
          <w:rFonts w:cs="Arial"/>
          <w:sz w:val="22"/>
          <w:szCs w:val="22"/>
        </w:rPr>
      </w:pPr>
      <w:r w:rsidRPr="00326AED">
        <w:rPr>
          <w:rFonts w:cs="Arial"/>
          <w:sz w:val="22"/>
          <w:szCs w:val="22"/>
        </w:rPr>
        <w:t>Covid remains a major potential downside threat as we are most likely to get further mutations. However, their severity and impact could vary widely, depending on vaccine effectiveness and how broadly it is administered.</w:t>
      </w:r>
    </w:p>
    <w:p w14:paraId="1914F743" w14:textId="77777777" w:rsidR="00326AED" w:rsidRPr="00326AED" w:rsidRDefault="00326AED" w:rsidP="00B738B4">
      <w:pPr>
        <w:rPr>
          <w:rFonts w:cs="Arial"/>
          <w:sz w:val="22"/>
          <w:szCs w:val="22"/>
        </w:rPr>
      </w:pPr>
    </w:p>
    <w:p w14:paraId="545E8E52" w14:textId="77777777" w:rsidR="00326AED" w:rsidRPr="00326AED" w:rsidRDefault="00326AED" w:rsidP="00B738B4">
      <w:pPr>
        <w:rPr>
          <w:rFonts w:cs="Arial"/>
          <w:sz w:val="22"/>
          <w:szCs w:val="22"/>
        </w:rPr>
      </w:pPr>
      <w:r w:rsidRPr="00326AED">
        <w:rPr>
          <w:rFonts w:cs="Arial"/>
          <w:sz w:val="22"/>
          <w:szCs w:val="22"/>
        </w:rPr>
        <w:t>In summary, with the high level of uncertainty prevailing on several different fronts, we expect to have to revise our forecasts again.</w:t>
      </w:r>
    </w:p>
    <w:p w14:paraId="4A86B67B" w14:textId="77777777" w:rsidR="00326AED" w:rsidRPr="00326AED" w:rsidRDefault="00326AED" w:rsidP="00B738B4">
      <w:pPr>
        <w:rPr>
          <w:rFonts w:cs="Arial"/>
          <w:sz w:val="22"/>
          <w:szCs w:val="22"/>
        </w:rPr>
      </w:pPr>
    </w:p>
    <w:p w14:paraId="2D136C98" w14:textId="77777777" w:rsidR="00326AED" w:rsidRPr="00326AED" w:rsidRDefault="00326AED" w:rsidP="00B738B4">
      <w:pPr>
        <w:rPr>
          <w:rFonts w:cs="Arial"/>
          <w:sz w:val="22"/>
          <w:szCs w:val="22"/>
        </w:rPr>
      </w:pPr>
    </w:p>
    <w:p w14:paraId="5D39C9E0" w14:textId="77777777" w:rsidR="00326AED" w:rsidRPr="00326AED" w:rsidRDefault="00326AED" w:rsidP="00B738B4">
      <w:pPr>
        <w:rPr>
          <w:rFonts w:cs="Arial"/>
          <w:b/>
          <w:bCs/>
          <w:sz w:val="22"/>
          <w:szCs w:val="22"/>
        </w:rPr>
      </w:pPr>
      <w:r w:rsidRPr="00326AED">
        <w:rPr>
          <w:rFonts w:cs="Arial"/>
          <w:b/>
          <w:bCs/>
          <w:sz w:val="22"/>
          <w:szCs w:val="22"/>
        </w:rPr>
        <w:t>b.</w:t>
      </w:r>
      <w:r w:rsidRPr="00326AED">
        <w:rPr>
          <w:rFonts w:cs="Arial"/>
          <w:b/>
          <w:bCs/>
          <w:sz w:val="22"/>
          <w:szCs w:val="22"/>
        </w:rPr>
        <w:tab/>
        <w:t>PWLB rates and gilt and treasury yields</w:t>
      </w:r>
    </w:p>
    <w:p w14:paraId="0D027B3B" w14:textId="77777777" w:rsidR="00326AED" w:rsidRPr="00326AED" w:rsidRDefault="00326AED" w:rsidP="00B738B4">
      <w:pPr>
        <w:rPr>
          <w:rFonts w:cs="Arial"/>
          <w:sz w:val="22"/>
          <w:szCs w:val="22"/>
        </w:rPr>
      </w:pPr>
    </w:p>
    <w:p w14:paraId="333E4CA4" w14:textId="77777777" w:rsidR="00326AED" w:rsidRPr="00326AED" w:rsidRDefault="00326AED" w:rsidP="00B738B4">
      <w:pPr>
        <w:rPr>
          <w:rFonts w:cs="Arial"/>
          <w:sz w:val="22"/>
          <w:szCs w:val="22"/>
        </w:rPr>
      </w:pPr>
      <w:r w:rsidRPr="00326AED">
        <w:rPr>
          <w:rFonts w:cs="Arial"/>
          <w:b/>
          <w:bCs/>
          <w:sz w:val="22"/>
          <w:szCs w:val="22"/>
        </w:rPr>
        <w:t>Gilt yields.</w:t>
      </w:r>
      <w:r w:rsidRPr="00326AED">
        <w:rPr>
          <w:rFonts w:cs="Arial"/>
          <w:sz w:val="22"/>
          <w:szCs w:val="22"/>
        </w:rPr>
        <w:t xml:space="preserve"> Since the start of 2021, we have seen a lot of volatility in gilt yields, and hence PWLB rates. Our forecasts show little overall increase in gilt yields during the forecast period to March 2025 but there will doubtless be a lot of unpredictable volatility during this forecast period.</w:t>
      </w:r>
    </w:p>
    <w:p w14:paraId="780F10FB" w14:textId="77777777" w:rsidR="00326AED" w:rsidRPr="00326AED" w:rsidRDefault="00326AED" w:rsidP="00B738B4">
      <w:pPr>
        <w:rPr>
          <w:rFonts w:cs="Arial"/>
          <w:sz w:val="22"/>
          <w:szCs w:val="22"/>
        </w:rPr>
      </w:pPr>
      <w:r w:rsidRPr="00326AED">
        <w:rPr>
          <w:rFonts w:cs="Arial"/>
          <w:sz w:val="22"/>
          <w:szCs w:val="22"/>
        </w:rPr>
        <w:t xml:space="preserve">   </w:t>
      </w:r>
    </w:p>
    <w:p w14:paraId="750B727A" w14:textId="77777777" w:rsidR="00326AED" w:rsidRPr="0097507A" w:rsidRDefault="00326AED" w:rsidP="00B738B4">
      <w:pPr>
        <w:rPr>
          <w:rFonts w:cs="Arial"/>
          <w:sz w:val="22"/>
          <w:szCs w:val="22"/>
        </w:rPr>
      </w:pPr>
      <w:r w:rsidRPr="00326AED">
        <w:rPr>
          <w:rFonts w:cs="Arial"/>
          <w:sz w:val="22"/>
          <w:szCs w:val="22"/>
        </w:rPr>
        <w:t xml:space="preserve">While monetary policy in the UK will have a major impact on gilt yields, there is also a need to consider the potential impact that rising treasury yields in America could have on gilt yields.  </w:t>
      </w:r>
      <w:r w:rsidRPr="0097507A">
        <w:rPr>
          <w:rFonts w:cs="Arial"/>
          <w:sz w:val="22"/>
          <w:szCs w:val="22"/>
        </w:rPr>
        <w:t>As an average since 2011, there has been a 75% correlation between movements in US 10-year treasury yields and UK 10-year gilt yields. This is a significant UPWARD RISK exposure to our forecasts for medium to longer term PWLB rates. However, gilt yields and treasury yields do not always move in unison.</w:t>
      </w:r>
    </w:p>
    <w:p w14:paraId="5333B7EB" w14:textId="77777777" w:rsidR="00326AED" w:rsidRPr="00326AED" w:rsidRDefault="00326AED" w:rsidP="00B738B4">
      <w:pPr>
        <w:rPr>
          <w:rFonts w:cs="Arial"/>
          <w:sz w:val="22"/>
          <w:szCs w:val="22"/>
        </w:rPr>
      </w:pPr>
    </w:p>
    <w:p w14:paraId="54A0CA9C" w14:textId="77777777" w:rsidR="00DB77F7" w:rsidRPr="00326AED" w:rsidRDefault="00DB77F7" w:rsidP="00B738B4">
      <w:pPr>
        <w:rPr>
          <w:rFonts w:cs="Arial"/>
          <w:sz w:val="22"/>
          <w:szCs w:val="22"/>
        </w:rPr>
      </w:pPr>
    </w:p>
    <w:p w14:paraId="71C437CD" w14:textId="77777777" w:rsidR="00326AED" w:rsidRPr="00326AED" w:rsidRDefault="00326AED" w:rsidP="00B738B4">
      <w:pPr>
        <w:rPr>
          <w:rFonts w:cs="Arial"/>
          <w:sz w:val="22"/>
          <w:szCs w:val="22"/>
        </w:rPr>
      </w:pPr>
      <w:r w:rsidRPr="00326AED">
        <w:rPr>
          <w:rFonts w:cs="Arial"/>
          <w:b/>
          <w:bCs/>
          <w:sz w:val="22"/>
          <w:szCs w:val="22"/>
        </w:rPr>
        <w:t>The balance of risks to the UK economy</w:t>
      </w:r>
      <w:r w:rsidRPr="00326AED">
        <w:rPr>
          <w:rFonts w:cs="Arial"/>
          <w:sz w:val="22"/>
          <w:szCs w:val="22"/>
        </w:rPr>
        <w:t>: -</w:t>
      </w:r>
    </w:p>
    <w:p w14:paraId="3002C599" w14:textId="77777777" w:rsidR="00326AED" w:rsidRPr="00326AED" w:rsidRDefault="00326AED" w:rsidP="00B738B4">
      <w:pPr>
        <w:rPr>
          <w:rFonts w:cs="Arial"/>
          <w:sz w:val="22"/>
          <w:szCs w:val="22"/>
        </w:rPr>
      </w:pPr>
    </w:p>
    <w:p w14:paraId="75633893" w14:textId="77777777" w:rsidR="00326AED" w:rsidRPr="00326AED" w:rsidRDefault="00326AED" w:rsidP="00B738B4">
      <w:pPr>
        <w:rPr>
          <w:rFonts w:cs="Arial"/>
          <w:b/>
          <w:bCs/>
          <w:sz w:val="22"/>
          <w:szCs w:val="22"/>
        </w:rPr>
      </w:pPr>
      <w:r w:rsidRPr="00326AED">
        <w:rPr>
          <w:rFonts w:cs="Arial"/>
          <w:b/>
          <w:bCs/>
          <w:sz w:val="22"/>
          <w:szCs w:val="22"/>
        </w:rPr>
        <w:t>Downside risks to current forecasts for UK gilt yields and PWLB rates include: -</w:t>
      </w:r>
    </w:p>
    <w:p w14:paraId="7A7E4FDE" w14:textId="4738207E" w:rsidR="00326AED" w:rsidRPr="00326AED" w:rsidRDefault="00326AED" w:rsidP="00B738B4">
      <w:pPr>
        <w:pStyle w:val="ListParagraph"/>
        <w:numPr>
          <w:ilvl w:val="0"/>
          <w:numId w:val="44"/>
        </w:numPr>
        <w:spacing w:line="259" w:lineRule="auto"/>
        <w:rPr>
          <w:rFonts w:cs="Arial"/>
          <w:sz w:val="22"/>
          <w:szCs w:val="22"/>
        </w:rPr>
      </w:pPr>
      <w:r w:rsidRPr="00326AED">
        <w:rPr>
          <w:rFonts w:cs="Arial"/>
          <w:b/>
          <w:bCs/>
          <w:sz w:val="22"/>
          <w:szCs w:val="22"/>
        </w:rPr>
        <w:t>Mutations</w:t>
      </w:r>
      <w:r w:rsidRPr="00326AED">
        <w:rPr>
          <w:rFonts w:cs="Arial"/>
          <w:sz w:val="22"/>
          <w:szCs w:val="22"/>
        </w:rPr>
        <w:t xml:space="preserve"> of the virus render current vaccines ineffective</w:t>
      </w:r>
    </w:p>
    <w:p w14:paraId="5ACAEA36" w14:textId="77777777" w:rsidR="00326AED" w:rsidRPr="00326AED" w:rsidRDefault="00326AED" w:rsidP="00B738B4">
      <w:pPr>
        <w:pStyle w:val="ListParagraph"/>
        <w:numPr>
          <w:ilvl w:val="0"/>
          <w:numId w:val="44"/>
        </w:numPr>
        <w:spacing w:line="259" w:lineRule="auto"/>
        <w:rPr>
          <w:rFonts w:cs="Arial"/>
          <w:sz w:val="22"/>
          <w:szCs w:val="22"/>
        </w:rPr>
      </w:pPr>
      <w:r w:rsidRPr="00326AED">
        <w:rPr>
          <w:rFonts w:cs="Arial"/>
          <w:b/>
          <w:bCs/>
          <w:sz w:val="22"/>
          <w:szCs w:val="22"/>
        </w:rPr>
        <w:t>Labour and supply shortages</w:t>
      </w:r>
      <w:r w:rsidRPr="00326AED">
        <w:rPr>
          <w:rFonts w:cs="Arial"/>
          <w:sz w:val="22"/>
          <w:szCs w:val="22"/>
        </w:rPr>
        <w:t xml:space="preserve"> prove more enduring and disruptive and depress economic activity.</w:t>
      </w:r>
    </w:p>
    <w:p w14:paraId="35880F7B" w14:textId="77777777" w:rsidR="00326AED" w:rsidRPr="00326AED" w:rsidRDefault="00326AED" w:rsidP="00B738B4">
      <w:pPr>
        <w:pStyle w:val="ListParagraph"/>
        <w:numPr>
          <w:ilvl w:val="0"/>
          <w:numId w:val="44"/>
        </w:numPr>
        <w:spacing w:line="259" w:lineRule="auto"/>
        <w:rPr>
          <w:rFonts w:cs="Arial"/>
          <w:sz w:val="22"/>
          <w:szCs w:val="22"/>
        </w:rPr>
      </w:pPr>
      <w:r w:rsidRPr="00326AED">
        <w:rPr>
          <w:rFonts w:cs="Arial"/>
          <w:b/>
          <w:bCs/>
          <w:sz w:val="22"/>
          <w:szCs w:val="22"/>
        </w:rPr>
        <w:t>Bank of England</w:t>
      </w:r>
      <w:r w:rsidRPr="00326AED">
        <w:rPr>
          <w:rFonts w:cs="Arial"/>
          <w:sz w:val="22"/>
          <w:szCs w:val="22"/>
        </w:rPr>
        <w:t xml:space="preserve"> acts too quickly, or too far, over the next three years to raise Bank Rate and causes UK economic growth, and increases in inflation, to be weaker than we currently anticipate. </w:t>
      </w:r>
    </w:p>
    <w:p w14:paraId="5760C838" w14:textId="2D5371A0" w:rsidR="00326AED" w:rsidRPr="00B738B4" w:rsidRDefault="00326AED" w:rsidP="00F91319">
      <w:pPr>
        <w:pStyle w:val="ListParagraph"/>
        <w:numPr>
          <w:ilvl w:val="0"/>
          <w:numId w:val="44"/>
        </w:numPr>
        <w:spacing w:line="259" w:lineRule="auto"/>
        <w:rPr>
          <w:rFonts w:cs="Arial"/>
          <w:sz w:val="22"/>
          <w:szCs w:val="22"/>
        </w:rPr>
      </w:pPr>
      <w:r w:rsidRPr="00B738B4">
        <w:rPr>
          <w:rFonts w:cs="Arial"/>
          <w:b/>
          <w:bCs/>
          <w:sz w:val="22"/>
          <w:szCs w:val="22"/>
        </w:rPr>
        <w:t>Geopolitical risks</w:t>
      </w:r>
      <w:r w:rsidRPr="00B738B4">
        <w:rPr>
          <w:rFonts w:cs="Arial"/>
          <w:sz w:val="22"/>
          <w:szCs w:val="22"/>
        </w:rPr>
        <w:t xml:space="preserve">, for example in Ukraine/Russia, Iran, China, North Korea and Middle Eastern countries, which could lead to increasing safe-haven flows. </w:t>
      </w:r>
    </w:p>
    <w:p w14:paraId="36EE0355" w14:textId="77777777" w:rsidR="00326AED" w:rsidRPr="00326AED" w:rsidRDefault="00326AED" w:rsidP="00B738B4">
      <w:pPr>
        <w:rPr>
          <w:rFonts w:cs="Arial"/>
          <w:sz w:val="22"/>
          <w:szCs w:val="22"/>
        </w:rPr>
      </w:pPr>
    </w:p>
    <w:p w14:paraId="64029870" w14:textId="77777777" w:rsidR="00326AED" w:rsidRPr="00326AED" w:rsidRDefault="00326AED" w:rsidP="00B738B4">
      <w:pPr>
        <w:rPr>
          <w:rFonts w:cs="Arial"/>
          <w:b/>
          <w:bCs/>
          <w:sz w:val="22"/>
          <w:szCs w:val="22"/>
        </w:rPr>
      </w:pPr>
      <w:r w:rsidRPr="00326AED">
        <w:rPr>
          <w:rFonts w:cs="Arial"/>
          <w:b/>
          <w:bCs/>
          <w:sz w:val="22"/>
          <w:szCs w:val="22"/>
        </w:rPr>
        <w:t>Upside risks to current forecasts for UK gilt yields and PWLB rates: -</w:t>
      </w:r>
    </w:p>
    <w:p w14:paraId="529EE23E" w14:textId="77777777" w:rsidR="00326AED" w:rsidRPr="00326AED" w:rsidRDefault="00326AED" w:rsidP="00B738B4">
      <w:pPr>
        <w:pStyle w:val="ListParagraph"/>
        <w:numPr>
          <w:ilvl w:val="0"/>
          <w:numId w:val="45"/>
        </w:numPr>
        <w:spacing w:line="259" w:lineRule="auto"/>
        <w:rPr>
          <w:rFonts w:cs="Arial"/>
          <w:sz w:val="22"/>
          <w:szCs w:val="22"/>
        </w:rPr>
      </w:pPr>
      <w:r w:rsidRPr="00326AED">
        <w:rPr>
          <w:rFonts w:cs="Arial"/>
          <w:b/>
          <w:bCs/>
          <w:sz w:val="22"/>
          <w:szCs w:val="22"/>
        </w:rPr>
        <w:t>The Bank of England</w:t>
      </w:r>
      <w:r w:rsidRPr="00326AED">
        <w:rPr>
          <w:rFonts w:cs="Arial"/>
          <w:sz w:val="22"/>
          <w:szCs w:val="22"/>
        </w:rPr>
        <w:t xml:space="preserve"> is too slow in its pace and strength of increases in Bank Rate and, therefore, allows inflationary pressures to build up too strongly within the UK economy, which then necessitates a later rapid series of increases in Bank Rate faster than we currently expect. </w:t>
      </w:r>
    </w:p>
    <w:p w14:paraId="345A5165" w14:textId="77777777" w:rsidR="00326AED" w:rsidRPr="00326AED" w:rsidRDefault="00326AED" w:rsidP="00B738B4">
      <w:pPr>
        <w:pStyle w:val="ListParagraph"/>
        <w:numPr>
          <w:ilvl w:val="0"/>
          <w:numId w:val="45"/>
        </w:numPr>
        <w:spacing w:line="259" w:lineRule="auto"/>
        <w:rPr>
          <w:rFonts w:cs="Arial"/>
          <w:sz w:val="22"/>
          <w:szCs w:val="22"/>
        </w:rPr>
      </w:pPr>
      <w:r w:rsidRPr="00326AED">
        <w:rPr>
          <w:rFonts w:cs="Arial"/>
          <w:b/>
          <w:bCs/>
          <w:sz w:val="22"/>
          <w:szCs w:val="22"/>
        </w:rPr>
        <w:t>Longer term US treasury yields</w:t>
      </w:r>
      <w:r w:rsidRPr="00326AED">
        <w:rPr>
          <w:rFonts w:cs="Arial"/>
          <w:sz w:val="22"/>
          <w:szCs w:val="22"/>
        </w:rPr>
        <w:t xml:space="preserve"> rise strongly and pull gilt yields up higher than forecast.</w:t>
      </w:r>
    </w:p>
    <w:p w14:paraId="07F1669D" w14:textId="77777777" w:rsidR="00326AED" w:rsidRPr="002B647E" w:rsidRDefault="00326AED" w:rsidP="00B738B4">
      <w:pPr>
        <w:rPr>
          <w:rFonts w:cs="Arial"/>
          <w:szCs w:val="22"/>
        </w:rPr>
      </w:pPr>
    </w:p>
    <w:p w14:paraId="53F91E81" w14:textId="77777777" w:rsidR="00F36E97" w:rsidRDefault="00F36E97" w:rsidP="00B738B4">
      <w:pPr>
        <w:rPr>
          <w:rFonts w:eastAsia="Calibri" w:cs="Arial"/>
          <w:szCs w:val="22"/>
          <w:lang w:val="en-AU"/>
        </w:rPr>
      </w:pPr>
    </w:p>
    <w:p w14:paraId="17140DE3" w14:textId="77777777" w:rsidR="00F36E97" w:rsidRDefault="00F36E97" w:rsidP="00F36E97">
      <w:pPr>
        <w:rPr>
          <w:rFonts w:cs="Arial"/>
        </w:rPr>
        <w:sectPr w:rsidR="00F36E97" w:rsidSect="00681F08">
          <w:headerReference w:type="default" r:id="rId11"/>
          <w:footerReference w:type="default" r:id="rId12"/>
          <w:pgSz w:w="11906" w:h="16838" w:code="9"/>
          <w:pgMar w:top="964" w:right="1134" w:bottom="1134" w:left="1134" w:header="720" w:footer="720" w:gutter="0"/>
          <w:cols w:space="720"/>
          <w:docGrid w:linePitch="299"/>
        </w:sectPr>
      </w:pPr>
    </w:p>
    <w:p w14:paraId="77657AD4" w14:textId="77777777" w:rsidR="00F36E97" w:rsidRDefault="00F36E97" w:rsidP="00F36E97">
      <w:pPr>
        <w:rPr>
          <w:rFonts w:cs="Arial"/>
          <w:b/>
        </w:rPr>
      </w:pPr>
    </w:p>
    <w:p w14:paraId="33EBE069" w14:textId="21A1B6EC" w:rsidR="00E87D85" w:rsidRPr="00882FCB" w:rsidRDefault="00F36E97" w:rsidP="00882FCB">
      <w:pPr>
        <w:rPr>
          <w:bCs/>
          <w:sz w:val="22"/>
        </w:rPr>
      </w:pPr>
      <w:r w:rsidRPr="00882FCB">
        <w:rPr>
          <w:rFonts w:cs="Arial"/>
          <w:b/>
        </w:rPr>
        <w:t>Comparison of Interest Rate Forecasts – Treasury Strategy 20</w:t>
      </w:r>
      <w:r w:rsidR="00EF36F1" w:rsidRPr="00882FCB">
        <w:rPr>
          <w:rFonts w:cs="Arial"/>
          <w:b/>
        </w:rPr>
        <w:t>21</w:t>
      </w:r>
      <w:r w:rsidRPr="00882FCB">
        <w:rPr>
          <w:rFonts w:cs="Arial"/>
          <w:b/>
        </w:rPr>
        <w:t>/22 – 202</w:t>
      </w:r>
      <w:r w:rsidR="00882FCB" w:rsidRPr="00882FCB">
        <w:rPr>
          <w:rFonts w:cs="Arial"/>
          <w:b/>
        </w:rPr>
        <w:t>3</w:t>
      </w:r>
      <w:r w:rsidRPr="00882FCB">
        <w:rPr>
          <w:rFonts w:cs="Arial"/>
          <w:b/>
        </w:rPr>
        <w:t>/2</w:t>
      </w:r>
      <w:r w:rsidR="00882FCB" w:rsidRPr="00882FCB">
        <w:rPr>
          <w:rFonts w:cs="Arial"/>
          <w:b/>
        </w:rPr>
        <w:t>4</w:t>
      </w:r>
      <w:r w:rsidRPr="00882FCB">
        <w:rPr>
          <w:rFonts w:cs="Arial"/>
          <w:b/>
        </w:rPr>
        <w:t xml:space="preserve"> (</w:t>
      </w:r>
      <w:r w:rsidR="00EF36F1" w:rsidRPr="00882FCB">
        <w:rPr>
          <w:rFonts w:cs="Arial"/>
          <w:b/>
        </w:rPr>
        <w:t>Jan</w:t>
      </w:r>
      <w:r w:rsidRPr="00882FCB">
        <w:rPr>
          <w:rFonts w:cs="Arial"/>
          <w:b/>
        </w:rPr>
        <w:t xml:space="preserve"> 20</w:t>
      </w:r>
      <w:r w:rsidR="00EF36F1" w:rsidRPr="00882FCB">
        <w:rPr>
          <w:rFonts w:cs="Arial"/>
          <w:b/>
        </w:rPr>
        <w:t>20</w:t>
      </w:r>
      <w:r w:rsidRPr="00882FCB">
        <w:rPr>
          <w:rFonts w:cs="Arial"/>
          <w:b/>
        </w:rPr>
        <w:t>), and Treasury Strategy 202</w:t>
      </w:r>
      <w:r w:rsidR="00882FCB" w:rsidRPr="00882FCB">
        <w:rPr>
          <w:rFonts w:cs="Arial"/>
          <w:b/>
        </w:rPr>
        <w:t>2</w:t>
      </w:r>
      <w:r w:rsidRPr="00882FCB">
        <w:rPr>
          <w:rFonts w:cs="Arial"/>
          <w:b/>
        </w:rPr>
        <w:t>/2</w:t>
      </w:r>
      <w:r w:rsidR="00882FCB" w:rsidRPr="00882FCB">
        <w:rPr>
          <w:rFonts w:cs="Arial"/>
          <w:b/>
        </w:rPr>
        <w:t>3</w:t>
      </w:r>
      <w:r w:rsidRPr="00882FCB">
        <w:rPr>
          <w:rFonts w:cs="Arial"/>
          <w:b/>
        </w:rPr>
        <w:t xml:space="preserve"> – 202</w:t>
      </w:r>
      <w:r w:rsidR="00882FCB" w:rsidRPr="00882FCB">
        <w:rPr>
          <w:rFonts w:cs="Arial"/>
          <w:b/>
        </w:rPr>
        <w:t>4</w:t>
      </w:r>
      <w:r w:rsidRPr="00882FCB">
        <w:rPr>
          <w:rFonts w:cs="Arial"/>
          <w:b/>
        </w:rPr>
        <w:t>/2</w:t>
      </w:r>
      <w:r w:rsidR="00882FCB" w:rsidRPr="00882FCB">
        <w:rPr>
          <w:rFonts w:cs="Arial"/>
          <w:b/>
        </w:rPr>
        <w:t>5</w:t>
      </w:r>
      <w:r w:rsidRPr="00882FCB">
        <w:rPr>
          <w:rFonts w:cs="Arial"/>
          <w:b/>
        </w:rPr>
        <w:t xml:space="preserve"> (</w:t>
      </w:r>
      <w:r w:rsidR="00EF36F1" w:rsidRPr="00882FCB">
        <w:rPr>
          <w:rFonts w:cs="Arial"/>
          <w:b/>
        </w:rPr>
        <w:t>Feb</w:t>
      </w:r>
      <w:r w:rsidRPr="00882FCB">
        <w:rPr>
          <w:rFonts w:cs="Arial"/>
          <w:b/>
        </w:rPr>
        <w:t xml:space="preserve"> 202</w:t>
      </w:r>
      <w:r w:rsidR="00882FCB" w:rsidRPr="00882FCB">
        <w:rPr>
          <w:rFonts w:cs="Arial"/>
          <w:b/>
        </w:rPr>
        <w:t>2</w:t>
      </w:r>
      <w:r w:rsidRPr="00882FCB">
        <w:rPr>
          <w:rFonts w:cs="Arial"/>
          <w:b/>
        </w:rPr>
        <w:t>)</w:t>
      </w:r>
    </w:p>
    <w:p w14:paraId="4DF9C0D0" w14:textId="47D08605" w:rsidR="00F36E97" w:rsidRDefault="00F36E97" w:rsidP="00F36E97">
      <w:pPr>
        <w:rPr>
          <w:rFonts w:cs="Arial"/>
          <w:bCs/>
        </w:rPr>
      </w:pPr>
    </w:p>
    <w:p w14:paraId="25B23C0B" w14:textId="718222C3" w:rsidR="00882FCB" w:rsidRDefault="00B27832" w:rsidP="00F36E97">
      <w:pPr>
        <w:rPr>
          <w:rFonts w:cs="Arial"/>
          <w:bCs/>
        </w:rPr>
      </w:pPr>
      <w:r>
        <w:rPr>
          <w:rFonts w:cs="Arial"/>
          <w:bCs/>
        </w:rPr>
        <w:pict w14:anchorId="4826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225pt">
            <v:imagedata r:id="rId13" o:title=""/>
            <o:lock v:ext="edit" aspectratio="f"/>
          </v:shape>
        </w:pict>
      </w:r>
    </w:p>
    <w:p w14:paraId="60F74C68" w14:textId="287C75F9" w:rsidR="00E63B28" w:rsidRDefault="00E63B28" w:rsidP="00F36E97">
      <w:pPr>
        <w:rPr>
          <w:rFonts w:cs="Arial"/>
          <w:bCs/>
        </w:rPr>
      </w:pPr>
    </w:p>
    <w:p w14:paraId="3557A02D" w14:textId="748749BA" w:rsidR="00F36E97" w:rsidRPr="00882FCB" w:rsidRDefault="00F36E97" w:rsidP="00F36E97">
      <w:pPr>
        <w:rPr>
          <w:rFonts w:cs="Arial"/>
          <w:bCs/>
        </w:rPr>
      </w:pPr>
      <w:r w:rsidRPr="00882FCB">
        <w:rPr>
          <w:rFonts w:cs="Arial"/>
          <w:bCs/>
        </w:rPr>
        <w:t xml:space="preserve">The </w:t>
      </w:r>
      <w:r w:rsidR="00882FCB" w:rsidRPr="00882FCB">
        <w:rPr>
          <w:rFonts w:cs="Arial"/>
          <w:bCs/>
        </w:rPr>
        <w:t>Febr</w:t>
      </w:r>
      <w:r w:rsidR="00E63B28" w:rsidRPr="00882FCB">
        <w:rPr>
          <w:rFonts w:cs="Arial"/>
          <w:bCs/>
        </w:rPr>
        <w:t>uary 202</w:t>
      </w:r>
      <w:r w:rsidR="00882FCB" w:rsidRPr="00882FCB">
        <w:rPr>
          <w:rFonts w:cs="Arial"/>
          <w:bCs/>
        </w:rPr>
        <w:t>1</w:t>
      </w:r>
      <w:r w:rsidRPr="00882FCB">
        <w:rPr>
          <w:rFonts w:cs="Arial"/>
          <w:bCs/>
        </w:rPr>
        <w:t xml:space="preserve"> forecasts were included in Treasury Strategy 20</w:t>
      </w:r>
      <w:r w:rsidR="00E63B28" w:rsidRPr="00882FCB">
        <w:rPr>
          <w:rFonts w:cs="Arial"/>
          <w:bCs/>
        </w:rPr>
        <w:t>2</w:t>
      </w:r>
      <w:r w:rsidR="00882FCB" w:rsidRPr="00882FCB">
        <w:rPr>
          <w:rFonts w:cs="Arial"/>
          <w:bCs/>
        </w:rPr>
        <w:t>1</w:t>
      </w:r>
      <w:r w:rsidRPr="00882FCB">
        <w:rPr>
          <w:rFonts w:cs="Arial"/>
          <w:bCs/>
        </w:rPr>
        <w:t>/2</w:t>
      </w:r>
      <w:r w:rsidR="00882FCB" w:rsidRPr="00882FCB">
        <w:rPr>
          <w:rFonts w:cs="Arial"/>
          <w:bCs/>
        </w:rPr>
        <w:t>2</w:t>
      </w:r>
      <w:r w:rsidRPr="00882FCB">
        <w:rPr>
          <w:rFonts w:cs="Arial"/>
          <w:bCs/>
        </w:rPr>
        <w:t xml:space="preserve"> to 202</w:t>
      </w:r>
      <w:r w:rsidR="00882FCB" w:rsidRPr="00882FCB">
        <w:rPr>
          <w:rFonts w:cs="Arial"/>
          <w:bCs/>
        </w:rPr>
        <w:t>3</w:t>
      </w:r>
      <w:r w:rsidRPr="00882FCB">
        <w:rPr>
          <w:rFonts w:cs="Arial"/>
          <w:bCs/>
        </w:rPr>
        <w:t>/2</w:t>
      </w:r>
      <w:r w:rsidR="00882FCB" w:rsidRPr="00882FCB">
        <w:rPr>
          <w:rFonts w:cs="Arial"/>
          <w:bCs/>
        </w:rPr>
        <w:t>4</w:t>
      </w:r>
      <w:r w:rsidRPr="00882FCB">
        <w:rPr>
          <w:rFonts w:cs="Arial"/>
          <w:bCs/>
        </w:rPr>
        <w:t>.</w:t>
      </w:r>
    </w:p>
    <w:p w14:paraId="7DA8AE5E" w14:textId="5CAE7A8B" w:rsidR="00F36E97" w:rsidRPr="00923611" w:rsidRDefault="00F36E97" w:rsidP="00F36E97">
      <w:pPr>
        <w:rPr>
          <w:rFonts w:cs="Arial"/>
          <w:bCs/>
        </w:rPr>
      </w:pPr>
      <w:r w:rsidRPr="00882FCB">
        <w:rPr>
          <w:rFonts w:cs="Arial"/>
          <w:bCs/>
        </w:rPr>
        <w:t xml:space="preserve">Link Asset Services provided an updated forecast in </w:t>
      </w:r>
      <w:r w:rsidR="00E63B28" w:rsidRPr="00882FCB">
        <w:rPr>
          <w:rFonts w:cs="Arial"/>
          <w:bCs/>
        </w:rPr>
        <w:t>Febr</w:t>
      </w:r>
      <w:r w:rsidRPr="00882FCB">
        <w:rPr>
          <w:rFonts w:cs="Arial"/>
          <w:bCs/>
        </w:rPr>
        <w:t>uary 202</w:t>
      </w:r>
      <w:r w:rsidR="00882FCB" w:rsidRPr="00882FCB">
        <w:rPr>
          <w:rFonts w:cs="Arial"/>
          <w:bCs/>
        </w:rPr>
        <w:t>2</w:t>
      </w:r>
      <w:r w:rsidRPr="00882FCB">
        <w:rPr>
          <w:rFonts w:cs="Arial"/>
          <w:bCs/>
        </w:rPr>
        <w:t>.</w:t>
      </w:r>
    </w:p>
    <w:p w14:paraId="4B364C0D" w14:textId="77777777" w:rsidR="00F36E97" w:rsidRPr="00923611" w:rsidRDefault="00F36E97" w:rsidP="00F36E97">
      <w:pPr>
        <w:rPr>
          <w:rFonts w:cs="Arial"/>
          <w:bCs/>
        </w:rPr>
      </w:pPr>
    </w:p>
    <w:p w14:paraId="7D106AF5" w14:textId="77777777" w:rsidR="00F36E97" w:rsidRPr="005227CA" w:rsidRDefault="00F36E97" w:rsidP="00F36E97">
      <w:pPr>
        <w:rPr>
          <w:rFonts w:cs="Arial"/>
        </w:rPr>
      </w:pPr>
    </w:p>
    <w:p w14:paraId="5F763BB8" w14:textId="77777777" w:rsidR="00F36E97" w:rsidRPr="005227CA" w:rsidRDefault="00F36E97" w:rsidP="00F36E97">
      <w:pPr>
        <w:rPr>
          <w:rFonts w:cs="Arial"/>
        </w:rPr>
      </w:pPr>
    </w:p>
    <w:p w14:paraId="6B507038" w14:textId="07EE0D95" w:rsidR="00F36E97" w:rsidRDefault="00F36E97" w:rsidP="006E61EB">
      <w:pPr>
        <w:pBdr>
          <w:left w:val="single" w:sz="2" w:space="0" w:color="FFFFFF"/>
          <w:bottom w:val="single" w:sz="2" w:space="2" w:color="FFFFFF"/>
          <w:right w:val="single" w:sz="2" w:space="4" w:color="FFFFFF"/>
        </w:pBdr>
        <w:tabs>
          <w:tab w:val="left" w:pos="567"/>
        </w:tabs>
      </w:pPr>
    </w:p>
    <w:p w14:paraId="528BBCB5" w14:textId="55D352B4" w:rsidR="00F36E97" w:rsidRDefault="00F36E97" w:rsidP="006E61EB">
      <w:pPr>
        <w:pBdr>
          <w:left w:val="single" w:sz="2" w:space="0" w:color="FFFFFF"/>
          <w:bottom w:val="single" w:sz="2" w:space="2" w:color="FFFFFF"/>
          <w:right w:val="single" w:sz="2" w:space="4" w:color="FFFFFF"/>
        </w:pBdr>
        <w:tabs>
          <w:tab w:val="left" w:pos="567"/>
        </w:tabs>
      </w:pPr>
    </w:p>
    <w:p w14:paraId="2718B343" w14:textId="79A1CC15" w:rsidR="00F36E97" w:rsidRDefault="00F36E97" w:rsidP="006E61EB">
      <w:pPr>
        <w:pBdr>
          <w:left w:val="single" w:sz="2" w:space="0" w:color="FFFFFF"/>
          <w:bottom w:val="single" w:sz="2" w:space="2" w:color="FFFFFF"/>
          <w:right w:val="single" w:sz="2" w:space="4" w:color="FFFFFF"/>
        </w:pBdr>
        <w:tabs>
          <w:tab w:val="left" w:pos="567"/>
        </w:tabs>
      </w:pPr>
    </w:p>
    <w:p w14:paraId="4F1F2B0D" w14:textId="77777777" w:rsidR="00F36E97" w:rsidRPr="00B85F3A" w:rsidRDefault="00F36E97" w:rsidP="006E61EB">
      <w:pPr>
        <w:pBdr>
          <w:left w:val="single" w:sz="2" w:space="0" w:color="FFFFFF"/>
          <w:bottom w:val="single" w:sz="2" w:space="2" w:color="FFFFFF"/>
          <w:right w:val="single" w:sz="2" w:space="4" w:color="FFFFFF"/>
        </w:pBdr>
        <w:tabs>
          <w:tab w:val="left" w:pos="567"/>
        </w:tabs>
      </w:pPr>
    </w:p>
    <w:sectPr w:rsidR="00F36E97" w:rsidRPr="00B85F3A" w:rsidSect="00F36E97">
      <w:headerReference w:type="first" r:id="rId14"/>
      <w:footerReference w:type="first" r:id="rId15"/>
      <w:pgSz w:w="16840" w:h="11907" w:orient="landscape" w:code="9"/>
      <w:pgMar w:top="1134" w:right="1134" w:bottom="1134" w:left="851" w:header="680" w:footer="374"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91904" w14:textId="77777777" w:rsidR="00B6242B" w:rsidRDefault="00B6242B">
      <w:r>
        <w:separator/>
      </w:r>
    </w:p>
  </w:endnote>
  <w:endnote w:type="continuationSeparator" w:id="0">
    <w:p w14:paraId="77E91905" w14:textId="77777777" w:rsidR="00B6242B" w:rsidRDefault="00B6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AA80" w14:textId="77777777" w:rsidR="00B6242B" w:rsidRDefault="00B6242B">
    <w:pPr>
      <w:pStyle w:val="Footer"/>
      <w:jc w:val="center"/>
    </w:pPr>
    <w:r>
      <w:fldChar w:fldCharType="begin"/>
    </w:r>
    <w:r>
      <w:instrText xml:space="preserve"> PAGE   \* MERGEFORMAT </w:instrText>
    </w:r>
    <w:r>
      <w:fldChar w:fldCharType="separate"/>
    </w:r>
    <w:r>
      <w:rPr>
        <w:noProof/>
      </w:rPr>
      <w:t>2</w:t>
    </w:r>
    <w:r>
      <w:rPr>
        <w:noProof/>
      </w:rPr>
      <w:fldChar w:fldCharType="end"/>
    </w:r>
  </w:p>
  <w:p w14:paraId="7EC6DFC4" w14:textId="77777777" w:rsidR="00B6242B" w:rsidRDefault="00B62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1908" w14:textId="77777777" w:rsidR="00B6242B" w:rsidRDefault="00B6242B">
    <w:pPr>
      <w:pStyle w:val="Footer"/>
      <w:tabs>
        <w:tab w:val="clear" w:pos="8640"/>
        <w:tab w:val="right" w:pos="8522"/>
      </w:tabs>
      <w:ind w:left="142"/>
      <w:rPr>
        <w:sz w:val="4"/>
      </w:rPr>
    </w:pPr>
  </w:p>
  <w:p w14:paraId="77E91909" w14:textId="77777777" w:rsidR="00B6242B" w:rsidRDefault="00B6242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1902" w14:textId="77777777" w:rsidR="00B6242B" w:rsidRDefault="00B6242B">
      <w:r>
        <w:separator/>
      </w:r>
    </w:p>
  </w:footnote>
  <w:footnote w:type="continuationSeparator" w:id="0">
    <w:p w14:paraId="77E91903" w14:textId="77777777" w:rsidR="00B6242B" w:rsidRDefault="00B6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C95F" w14:textId="0C076D5C" w:rsidR="00B6242B" w:rsidRPr="003F39CF" w:rsidRDefault="00B6242B" w:rsidP="00681F08">
    <w:pPr>
      <w:pStyle w:val="Header"/>
      <w:jc w:val="right"/>
      <w:rPr>
        <w:b/>
        <w:bCs/>
      </w:rPr>
    </w:pPr>
    <w:r w:rsidRPr="003F39CF">
      <w:rPr>
        <w:b/>
        <w:bCs/>
      </w:rPr>
      <w:t xml:space="preserve">APPENDIX </w:t>
    </w:r>
    <w:proofErr w:type="spellStart"/>
    <w:r>
      <w:rPr>
        <w:b/>
        <w:bCs/>
      </w:rPr>
      <w:t>Hii</w:t>
    </w:r>
    <w:proofErr w:type="spellEnd"/>
    <w:r>
      <w:rPr>
        <w:b/>
        <w:bCs/>
      </w:rPr>
      <w:t>)</w:t>
    </w:r>
  </w:p>
  <w:p w14:paraId="59F1314E" w14:textId="77777777" w:rsidR="00B6242B" w:rsidRDefault="00B62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1906" w14:textId="4EFA1328" w:rsidR="00B6242B" w:rsidRPr="003D6D4C" w:rsidRDefault="00B6242B" w:rsidP="00E239A0">
    <w:pPr>
      <w:pStyle w:val="Header"/>
      <w:jc w:val="right"/>
      <w:rPr>
        <w:rFonts w:cs="Arial"/>
        <w:b/>
        <w:bCs/>
        <w:szCs w:val="24"/>
      </w:rPr>
    </w:pPr>
    <w:r w:rsidRPr="003D6D4C">
      <w:rPr>
        <w:rFonts w:cs="Arial"/>
        <w:b/>
        <w:bCs/>
        <w:szCs w:val="24"/>
      </w:rPr>
      <w:t xml:space="preserve">APPENDIX </w:t>
    </w:r>
    <w:proofErr w:type="spellStart"/>
    <w:r w:rsidRPr="003D6D4C">
      <w:rPr>
        <w:rFonts w:cs="Arial"/>
        <w:b/>
        <w:bCs/>
        <w:szCs w:val="24"/>
      </w:rPr>
      <w:t>H</w:t>
    </w:r>
    <w:r>
      <w:rPr>
        <w:rFonts w:cs="Arial"/>
        <w:b/>
        <w:bCs/>
        <w:szCs w:val="24"/>
      </w:rPr>
      <w:t>ii</w:t>
    </w:r>
    <w:proofErr w:type="spellEnd"/>
    <w:r>
      <w:rPr>
        <w:rFonts w:cs="Arial"/>
        <w:b/>
        <w:bCs/>
        <w:szCs w:val="24"/>
      </w:rPr>
      <w:t>)</w:t>
    </w:r>
  </w:p>
  <w:p w14:paraId="77E91907" w14:textId="77777777" w:rsidR="00B6242B" w:rsidRDefault="00B6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808D384"/>
    <w:lvl w:ilvl="0">
      <w:start w:val="1"/>
      <w:numFmt w:val="decimal"/>
      <w:pStyle w:val="ListNumber"/>
      <w:lvlText w:val="%1."/>
      <w:lvlJc w:val="left"/>
      <w:pPr>
        <w:tabs>
          <w:tab w:val="num" w:pos="360"/>
        </w:tabs>
        <w:ind w:left="360" w:hanging="360"/>
      </w:pPr>
    </w:lvl>
  </w:abstractNum>
  <w:abstractNum w:abstractNumId="1" w15:restartNumberingAfterBreak="0">
    <w:nsid w:val="02BB5BE0"/>
    <w:multiLevelType w:val="hybridMultilevel"/>
    <w:tmpl w:val="ED74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00E6"/>
    <w:multiLevelType w:val="multilevel"/>
    <w:tmpl w:val="2620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F706E"/>
    <w:multiLevelType w:val="hybridMultilevel"/>
    <w:tmpl w:val="344E1474"/>
    <w:lvl w:ilvl="0" w:tplc="08090001">
      <w:start w:val="1"/>
      <w:numFmt w:val="bullet"/>
      <w:lvlText w:val=""/>
      <w:lvlJc w:val="left"/>
      <w:pPr>
        <w:ind w:left="92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14966"/>
    <w:multiLevelType w:val="hybridMultilevel"/>
    <w:tmpl w:val="FFFA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2245E"/>
    <w:multiLevelType w:val="hybridMultilevel"/>
    <w:tmpl w:val="9EFC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5532A"/>
    <w:multiLevelType w:val="hybridMultilevel"/>
    <w:tmpl w:val="8FEC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30AFE"/>
    <w:multiLevelType w:val="hybridMultilevel"/>
    <w:tmpl w:val="E520A51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5B06D2"/>
    <w:multiLevelType w:val="hybridMultilevel"/>
    <w:tmpl w:val="4E22F06A"/>
    <w:lvl w:ilvl="0" w:tplc="677EA310">
      <w:start w:val="1"/>
      <w:numFmt w:val="decimal"/>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07CE4"/>
    <w:multiLevelType w:val="hybridMultilevel"/>
    <w:tmpl w:val="01D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10883"/>
    <w:multiLevelType w:val="hybridMultilevel"/>
    <w:tmpl w:val="7BE6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75103"/>
    <w:multiLevelType w:val="hybridMultilevel"/>
    <w:tmpl w:val="37C4A2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ECF1C98"/>
    <w:multiLevelType w:val="hybridMultilevel"/>
    <w:tmpl w:val="01F09DE8"/>
    <w:lvl w:ilvl="0" w:tplc="08090001">
      <w:start w:val="1"/>
      <w:numFmt w:val="bullet"/>
      <w:lvlText w:val=""/>
      <w:lvlJc w:val="left"/>
      <w:pPr>
        <w:ind w:left="1287" w:hanging="360"/>
      </w:pPr>
      <w:rPr>
        <w:rFonts w:ascii="Symbol" w:hAnsi="Symbol" w:hint="default"/>
      </w:rPr>
    </w:lvl>
    <w:lvl w:ilvl="1" w:tplc="69509908">
      <w:numFmt w:val="bullet"/>
      <w:lvlText w:val="•"/>
      <w:lvlJc w:val="left"/>
      <w:pPr>
        <w:ind w:left="2217" w:hanging="57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F361F86"/>
    <w:multiLevelType w:val="hybridMultilevel"/>
    <w:tmpl w:val="5C86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2CCE"/>
    <w:multiLevelType w:val="hybridMultilevel"/>
    <w:tmpl w:val="349E10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2803403"/>
    <w:multiLevelType w:val="hybridMultilevel"/>
    <w:tmpl w:val="4538FB40"/>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3761C94"/>
    <w:multiLevelType w:val="hybridMultilevel"/>
    <w:tmpl w:val="04E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56E30"/>
    <w:multiLevelType w:val="hybridMultilevel"/>
    <w:tmpl w:val="0D4675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8D63A5B"/>
    <w:multiLevelType w:val="hybridMultilevel"/>
    <w:tmpl w:val="F2BA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C43F6"/>
    <w:multiLevelType w:val="hybridMultilevel"/>
    <w:tmpl w:val="E790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81042"/>
    <w:multiLevelType w:val="hybridMultilevel"/>
    <w:tmpl w:val="DB0E37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FCF1947"/>
    <w:multiLevelType w:val="hybridMultilevel"/>
    <w:tmpl w:val="FB5C8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0610BCF"/>
    <w:multiLevelType w:val="hybridMultilevel"/>
    <w:tmpl w:val="843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620B5"/>
    <w:multiLevelType w:val="hybridMultilevel"/>
    <w:tmpl w:val="05B8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F4CB5"/>
    <w:multiLevelType w:val="multilevel"/>
    <w:tmpl w:val="256E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677967"/>
    <w:multiLevelType w:val="hybridMultilevel"/>
    <w:tmpl w:val="47C4A7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45FB6139"/>
    <w:multiLevelType w:val="hybridMultilevel"/>
    <w:tmpl w:val="2092F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696DE0"/>
    <w:multiLevelType w:val="hybridMultilevel"/>
    <w:tmpl w:val="00F0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116BCD"/>
    <w:multiLevelType w:val="hybridMultilevel"/>
    <w:tmpl w:val="4D4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269C8"/>
    <w:multiLevelType w:val="hybridMultilevel"/>
    <w:tmpl w:val="B3FAE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42AC1"/>
    <w:multiLevelType w:val="hybridMultilevel"/>
    <w:tmpl w:val="D8A4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435086"/>
    <w:multiLevelType w:val="hybridMultilevel"/>
    <w:tmpl w:val="00FC35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E34424D"/>
    <w:multiLevelType w:val="hybridMultilevel"/>
    <w:tmpl w:val="765E6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D60810"/>
    <w:multiLevelType w:val="hybridMultilevel"/>
    <w:tmpl w:val="DF4046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EDE3416"/>
    <w:multiLevelType w:val="hybridMultilevel"/>
    <w:tmpl w:val="019893D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8EC73E5"/>
    <w:multiLevelType w:val="hybridMultilevel"/>
    <w:tmpl w:val="F38AB2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EDB0753"/>
    <w:multiLevelType w:val="hybridMultilevel"/>
    <w:tmpl w:val="33D0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8793F"/>
    <w:multiLevelType w:val="hybridMultilevel"/>
    <w:tmpl w:val="85EC1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47920E32">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4106C7"/>
    <w:multiLevelType w:val="hybridMultilevel"/>
    <w:tmpl w:val="6A523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50C29BF"/>
    <w:multiLevelType w:val="hybridMultilevel"/>
    <w:tmpl w:val="79DEBF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750F0A83"/>
    <w:multiLevelType w:val="hybridMultilevel"/>
    <w:tmpl w:val="F51CD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772800"/>
    <w:multiLevelType w:val="hybridMultilevel"/>
    <w:tmpl w:val="882A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707ADF"/>
    <w:multiLevelType w:val="multilevel"/>
    <w:tmpl w:val="39ACC3B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4" w15:restartNumberingAfterBreak="0">
    <w:nsid w:val="787917F8"/>
    <w:multiLevelType w:val="hybridMultilevel"/>
    <w:tmpl w:val="230E1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CD43145"/>
    <w:multiLevelType w:val="hybridMultilevel"/>
    <w:tmpl w:val="827C5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2"/>
  </w:num>
  <w:num w:numId="3">
    <w:abstractNumId w:val="14"/>
  </w:num>
  <w:num w:numId="4">
    <w:abstractNumId w:val="40"/>
  </w:num>
  <w:num w:numId="5">
    <w:abstractNumId w:val="11"/>
  </w:num>
  <w:num w:numId="6">
    <w:abstractNumId w:val="44"/>
  </w:num>
  <w:num w:numId="7">
    <w:abstractNumId w:val="20"/>
  </w:num>
  <w:num w:numId="8">
    <w:abstractNumId w:val="17"/>
  </w:num>
  <w:num w:numId="9">
    <w:abstractNumId w:val="3"/>
  </w:num>
  <w:num w:numId="10">
    <w:abstractNumId w:val="38"/>
  </w:num>
  <w:num w:numId="11">
    <w:abstractNumId w:val="25"/>
  </w:num>
  <w:num w:numId="12">
    <w:abstractNumId w:val="26"/>
  </w:num>
  <w:num w:numId="13">
    <w:abstractNumId w:val="0"/>
  </w:num>
  <w:num w:numId="14">
    <w:abstractNumId w:val="35"/>
  </w:num>
  <w:num w:numId="15">
    <w:abstractNumId w:val="12"/>
  </w:num>
  <w:num w:numId="16">
    <w:abstractNumId w:val="36"/>
  </w:num>
  <w:num w:numId="17">
    <w:abstractNumId w:val="21"/>
  </w:num>
  <w:num w:numId="18">
    <w:abstractNumId w:val="34"/>
  </w:num>
  <w:num w:numId="19">
    <w:abstractNumId w:val="22"/>
  </w:num>
  <w:num w:numId="20">
    <w:abstractNumId w:val="42"/>
  </w:num>
  <w:num w:numId="21">
    <w:abstractNumId w:val="28"/>
  </w:num>
  <w:num w:numId="22">
    <w:abstractNumId w:val="15"/>
  </w:num>
  <w:num w:numId="23">
    <w:abstractNumId w:val="41"/>
  </w:num>
  <w:num w:numId="24">
    <w:abstractNumId w:val="4"/>
  </w:num>
  <w:num w:numId="25">
    <w:abstractNumId w:val="33"/>
  </w:num>
  <w:num w:numId="26">
    <w:abstractNumId w:val="1"/>
  </w:num>
  <w:num w:numId="27">
    <w:abstractNumId w:val="6"/>
  </w:num>
  <w:num w:numId="28">
    <w:abstractNumId w:val="29"/>
  </w:num>
  <w:num w:numId="29">
    <w:abstractNumId w:val="19"/>
  </w:num>
  <w:num w:numId="30">
    <w:abstractNumId w:val="2"/>
  </w:num>
  <w:num w:numId="31">
    <w:abstractNumId w:val="43"/>
  </w:num>
  <w:num w:numId="32">
    <w:abstractNumId w:val="24"/>
  </w:num>
  <w:num w:numId="33">
    <w:abstractNumId w:val="31"/>
  </w:num>
  <w:num w:numId="34">
    <w:abstractNumId w:val="39"/>
  </w:num>
  <w:num w:numId="35">
    <w:abstractNumId w:val="10"/>
  </w:num>
  <w:num w:numId="36">
    <w:abstractNumId w:val="9"/>
  </w:num>
  <w:num w:numId="37">
    <w:abstractNumId w:val="16"/>
  </w:num>
  <w:num w:numId="38">
    <w:abstractNumId w:val="7"/>
  </w:num>
  <w:num w:numId="39">
    <w:abstractNumId w:val="5"/>
  </w:num>
  <w:num w:numId="40">
    <w:abstractNumId w:val="30"/>
  </w:num>
  <w:num w:numId="41">
    <w:abstractNumId w:val="23"/>
  </w:num>
  <w:num w:numId="42">
    <w:abstractNumId w:val="27"/>
  </w:num>
  <w:num w:numId="43">
    <w:abstractNumId w:val="37"/>
  </w:num>
  <w:num w:numId="44">
    <w:abstractNumId w:val="13"/>
  </w:num>
  <w:num w:numId="45">
    <w:abstractNumId w:val="18"/>
  </w:num>
  <w:num w:numId="46">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F3"/>
    <w:rsid w:val="00001E61"/>
    <w:rsid w:val="00010132"/>
    <w:rsid w:val="00017CE2"/>
    <w:rsid w:val="00025665"/>
    <w:rsid w:val="00057556"/>
    <w:rsid w:val="00060FF6"/>
    <w:rsid w:val="00061EEB"/>
    <w:rsid w:val="00063BA7"/>
    <w:rsid w:val="00067730"/>
    <w:rsid w:val="0008391D"/>
    <w:rsid w:val="00090916"/>
    <w:rsid w:val="000941DE"/>
    <w:rsid w:val="00094BC6"/>
    <w:rsid w:val="00097667"/>
    <w:rsid w:val="000A17A8"/>
    <w:rsid w:val="000A4F4D"/>
    <w:rsid w:val="000A62C0"/>
    <w:rsid w:val="000B0381"/>
    <w:rsid w:val="000B5EA5"/>
    <w:rsid w:val="000C00D5"/>
    <w:rsid w:val="000C5D20"/>
    <w:rsid w:val="000C7086"/>
    <w:rsid w:val="000D027E"/>
    <w:rsid w:val="000D28BA"/>
    <w:rsid w:val="000D3F3D"/>
    <w:rsid w:val="000D5607"/>
    <w:rsid w:val="000E40E7"/>
    <w:rsid w:val="000E4202"/>
    <w:rsid w:val="000E4366"/>
    <w:rsid w:val="000F0108"/>
    <w:rsid w:val="00107608"/>
    <w:rsid w:val="00111124"/>
    <w:rsid w:val="00113E9E"/>
    <w:rsid w:val="00120285"/>
    <w:rsid w:val="001425A9"/>
    <w:rsid w:val="00154C41"/>
    <w:rsid w:val="001616A1"/>
    <w:rsid w:val="00163843"/>
    <w:rsid w:val="00166DE1"/>
    <w:rsid w:val="001766F3"/>
    <w:rsid w:val="0017714B"/>
    <w:rsid w:val="001805AF"/>
    <w:rsid w:val="00181A08"/>
    <w:rsid w:val="001820EB"/>
    <w:rsid w:val="001827A0"/>
    <w:rsid w:val="0019589D"/>
    <w:rsid w:val="001A7D5B"/>
    <w:rsid w:val="001B34F7"/>
    <w:rsid w:val="001B4F00"/>
    <w:rsid w:val="001D635B"/>
    <w:rsid w:val="001D6B28"/>
    <w:rsid w:val="001D7A9C"/>
    <w:rsid w:val="001E666E"/>
    <w:rsid w:val="002035D5"/>
    <w:rsid w:val="00203ACD"/>
    <w:rsid w:val="00206F8A"/>
    <w:rsid w:val="00212A9A"/>
    <w:rsid w:val="00213E9C"/>
    <w:rsid w:val="0021487D"/>
    <w:rsid w:val="00226B02"/>
    <w:rsid w:val="00227BCA"/>
    <w:rsid w:val="00232AD0"/>
    <w:rsid w:val="00240030"/>
    <w:rsid w:val="002468CC"/>
    <w:rsid w:val="00253109"/>
    <w:rsid w:val="00275B2C"/>
    <w:rsid w:val="00277D4D"/>
    <w:rsid w:val="00277D82"/>
    <w:rsid w:val="002827CB"/>
    <w:rsid w:val="00284B89"/>
    <w:rsid w:val="0028627D"/>
    <w:rsid w:val="00292C3D"/>
    <w:rsid w:val="00293016"/>
    <w:rsid w:val="002964A8"/>
    <w:rsid w:val="002A11E3"/>
    <w:rsid w:val="002A13B7"/>
    <w:rsid w:val="002B54FF"/>
    <w:rsid w:val="002C35F8"/>
    <w:rsid w:val="002D1B79"/>
    <w:rsid w:val="002D3AC1"/>
    <w:rsid w:val="002D72F9"/>
    <w:rsid w:val="002E1B8E"/>
    <w:rsid w:val="002E3530"/>
    <w:rsid w:val="002E39DC"/>
    <w:rsid w:val="002E4653"/>
    <w:rsid w:val="002E4736"/>
    <w:rsid w:val="002E7F56"/>
    <w:rsid w:val="002F175A"/>
    <w:rsid w:val="002F288B"/>
    <w:rsid w:val="002F539D"/>
    <w:rsid w:val="00311E1A"/>
    <w:rsid w:val="00311FAC"/>
    <w:rsid w:val="00314228"/>
    <w:rsid w:val="0032111C"/>
    <w:rsid w:val="00326AED"/>
    <w:rsid w:val="003431DB"/>
    <w:rsid w:val="003434C3"/>
    <w:rsid w:val="003445A4"/>
    <w:rsid w:val="003451CC"/>
    <w:rsid w:val="00381CE7"/>
    <w:rsid w:val="00391D8E"/>
    <w:rsid w:val="003A4CB4"/>
    <w:rsid w:val="003A5272"/>
    <w:rsid w:val="003A6959"/>
    <w:rsid w:val="003C14EE"/>
    <w:rsid w:val="003C6CA5"/>
    <w:rsid w:val="003D2BE9"/>
    <w:rsid w:val="003D3566"/>
    <w:rsid w:val="003D6D4C"/>
    <w:rsid w:val="003D7CF5"/>
    <w:rsid w:val="003E2D52"/>
    <w:rsid w:val="003F0489"/>
    <w:rsid w:val="003F4C49"/>
    <w:rsid w:val="00407918"/>
    <w:rsid w:val="0041012D"/>
    <w:rsid w:val="0042264B"/>
    <w:rsid w:val="004355BF"/>
    <w:rsid w:val="004456EB"/>
    <w:rsid w:val="00445EA8"/>
    <w:rsid w:val="0045371E"/>
    <w:rsid w:val="00455405"/>
    <w:rsid w:val="004571E1"/>
    <w:rsid w:val="00457BDD"/>
    <w:rsid w:val="004705DA"/>
    <w:rsid w:val="0049352C"/>
    <w:rsid w:val="004A032D"/>
    <w:rsid w:val="004A1C3E"/>
    <w:rsid w:val="004A265E"/>
    <w:rsid w:val="004A78B0"/>
    <w:rsid w:val="004B041D"/>
    <w:rsid w:val="004C2D63"/>
    <w:rsid w:val="004C3454"/>
    <w:rsid w:val="004D0A6E"/>
    <w:rsid w:val="004D1ADE"/>
    <w:rsid w:val="004D47FA"/>
    <w:rsid w:val="004D65BD"/>
    <w:rsid w:val="004F54C6"/>
    <w:rsid w:val="00501C50"/>
    <w:rsid w:val="00506510"/>
    <w:rsid w:val="00513B52"/>
    <w:rsid w:val="00515310"/>
    <w:rsid w:val="00516109"/>
    <w:rsid w:val="00517249"/>
    <w:rsid w:val="00524BD6"/>
    <w:rsid w:val="005410A1"/>
    <w:rsid w:val="005418C6"/>
    <w:rsid w:val="00546280"/>
    <w:rsid w:val="00547A65"/>
    <w:rsid w:val="0055339E"/>
    <w:rsid w:val="0056320F"/>
    <w:rsid w:val="005662F3"/>
    <w:rsid w:val="0057326A"/>
    <w:rsid w:val="005776A6"/>
    <w:rsid w:val="00580CC9"/>
    <w:rsid w:val="005849EB"/>
    <w:rsid w:val="00592F8F"/>
    <w:rsid w:val="005A0018"/>
    <w:rsid w:val="005A3CFB"/>
    <w:rsid w:val="005A65F8"/>
    <w:rsid w:val="005C363E"/>
    <w:rsid w:val="005D011E"/>
    <w:rsid w:val="005D14A6"/>
    <w:rsid w:val="005D660B"/>
    <w:rsid w:val="005E0F61"/>
    <w:rsid w:val="005F06EA"/>
    <w:rsid w:val="005F116B"/>
    <w:rsid w:val="005F1B68"/>
    <w:rsid w:val="005F1C06"/>
    <w:rsid w:val="005F1E6F"/>
    <w:rsid w:val="005F2D45"/>
    <w:rsid w:val="006005C5"/>
    <w:rsid w:val="0060102F"/>
    <w:rsid w:val="00601D5A"/>
    <w:rsid w:val="006102D5"/>
    <w:rsid w:val="00624601"/>
    <w:rsid w:val="006304BE"/>
    <w:rsid w:val="00635209"/>
    <w:rsid w:val="00650D1C"/>
    <w:rsid w:val="00651F88"/>
    <w:rsid w:val="00664DBD"/>
    <w:rsid w:val="00666F62"/>
    <w:rsid w:val="006675A2"/>
    <w:rsid w:val="006727F6"/>
    <w:rsid w:val="006767AB"/>
    <w:rsid w:val="00681F08"/>
    <w:rsid w:val="00681FC1"/>
    <w:rsid w:val="0069420C"/>
    <w:rsid w:val="006A0565"/>
    <w:rsid w:val="006A17F1"/>
    <w:rsid w:val="006A5A48"/>
    <w:rsid w:val="006A64DD"/>
    <w:rsid w:val="006B525F"/>
    <w:rsid w:val="006B7475"/>
    <w:rsid w:val="006C36E0"/>
    <w:rsid w:val="006E5FAD"/>
    <w:rsid w:val="006E61EB"/>
    <w:rsid w:val="006E6B38"/>
    <w:rsid w:val="006F2F5D"/>
    <w:rsid w:val="006F3C6D"/>
    <w:rsid w:val="006F5D82"/>
    <w:rsid w:val="006F79E2"/>
    <w:rsid w:val="00706DBC"/>
    <w:rsid w:val="00722B3F"/>
    <w:rsid w:val="00726DD4"/>
    <w:rsid w:val="00737E30"/>
    <w:rsid w:val="00741389"/>
    <w:rsid w:val="00741AC0"/>
    <w:rsid w:val="007569A5"/>
    <w:rsid w:val="007573CD"/>
    <w:rsid w:val="00782276"/>
    <w:rsid w:val="00791C06"/>
    <w:rsid w:val="007A063F"/>
    <w:rsid w:val="007A4D54"/>
    <w:rsid w:val="007B77FB"/>
    <w:rsid w:val="007C1CF9"/>
    <w:rsid w:val="007D6355"/>
    <w:rsid w:val="007E102E"/>
    <w:rsid w:val="007E36E3"/>
    <w:rsid w:val="007F5862"/>
    <w:rsid w:val="00800326"/>
    <w:rsid w:val="00800C22"/>
    <w:rsid w:val="00812D5E"/>
    <w:rsid w:val="008139A2"/>
    <w:rsid w:val="00813FB1"/>
    <w:rsid w:val="00816564"/>
    <w:rsid w:val="00817CEC"/>
    <w:rsid w:val="00821053"/>
    <w:rsid w:val="00826241"/>
    <w:rsid w:val="00827B8D"/>
    <w:rsid w:val="00843B63"/>
    <w:rsid w:val="008471EC"/>
    <w:rsid w:val="00851D25"/>
    <w:rsid w:val="00860117"/>
    <w:rsid w:val="0086166C"/>
    <w:rsid w:val="008665D3"/>
    <w:rsid w:val="00875C8B"/>
    <w:rsid w:val="00876BBF"/>
    <w:rsid w:val="00882FCB"/>
    <w:rsid w:val="0088776D"/>
    <w:rsid w:val="00890708"/>
    <w:rsid w:val="0089094D"/>
    <w:rsid w:val="008946B0"/>
    <w:rsid w:val="008A7090"/>
    <w:rsid w:val="008A739E"/>
    <w:rsid w:val="008B5EA2"/>
    <w:rsid w:val="008D0F72"/>
    <w:rsid w:val="008D2043"/>
    <w:rsid w:val="00900786"/>
    <w:rsid w:val="009104D1"/>
    <w:rsid w:val="0091179C"/>
    <w:rsid w:val="00930295"/>
    <w:rsid w:val="00931F13"/>
    <w:rsid w:val="00933026"/>
    <w:rsid w:val="00935997"/>
    <w:rsid w:val="00941689"/>
    <w:rsid w:val="009429E6"/>
    <w:rsid w:val="00944727"/>
    <w:rsid w:val="009462B4"/>
    <w:rsid w:val="0095138D"/>
    <w:rsid w:val="00951E5A"/>
    <w:rsid w:val="00956E16"/>
    <w:rsid w:val="00961A0D"/>
    <w:rsid w:val="00971FD0"/>
    <w:rsid w:val="009728AB"/>
    <w:rsid w:val="0097507A"/>
    <w:rsid w:val="00975418"/>
    <w:rsid w:val="0099272F"/>
    <w:rsid w:val="00995996"/>
    <w:rsid w:val="009C1879"/>
    <w:rsid w:val="009C2495"/>
    <w:rsid w:val="009D09B9"/>
    <w:rsid w:val="009D5C35"/>
    <w:rsid w:val="009E1561"/>
    <w:rsid w:val="009E503F"/>
    <w:rsid w:val="009F35D4"/>
    <w:rsid w:val="009F6825"/>
    <w:rsid w:val="009F7324"/>
    <w:rsid w:val="00A03B34"/>
    <w:rsid w:val="00A05E26"/>
    <w:rsid w:val="00A1236C"/>
    <w:rsid w:val="00A16621"/>
    <w:rsid w:val="00A2073E"/>
    <w:rsid w:val="00A21FB6"/>
    <w:rsid w:val="00A22E93"/>
    <w:rsid w:val="00A26DA9"/>
    <w:rsid w:val="00A27F63"/>
    <w:rsid w:val="00A3349C"/>
    <w:rsid w:val="00A336C5"/>
    <w:rsid w:val="00A33DAC"/>
    <w:rsid w:val="00A4417B"/>
    <w:rsid w:val="00A464B4"/>
    <w:rsid w:val="00A5157C"/>
    <w:rsid w:val="00A54373"/>
    <w:rsid w:val="00A563FA"/>
    <w:rsid w:val="00A655CF"/>
    <w:rsid w:val="00A65C5E"/>
    <w:rsid w:val="00A71B7B"/>
    <w:rsid w:val="00A74AFD"/>
    <w:rsid w:val="00A771C5"/>
    <w:rsid w:val="00A93BD1"/>
    <w:rsid w:val="00AA34FD"/>
    <w:rsid w:val="00AB71C2"/>
    <w:rsid w:val="00AD4C98"/>
    <w:rsid w:val="00AE24D1"/>
    <w:rsid w:val="00AF1745"/>
    <w:rsid w:val="00AF32C3"/>
    <w:rsid w:val="00AF4A89"/>
    <w:rsid w:val="00AF4F19"/>
    <w:rsid w:val="00AF7B50"/>
    <w:rsid w:val="00B13665"/>
    <w:rsid w:val="00B143F9"/>
    <w:rsid w:val="00B14A97"/>
    <w:rsid w:val="00B14E1C"/>
    <w:rsid w:val="00B26FD8"/>
    <w:rsid w:val="00B27832"/>
    <w:rsid w:val="00B30A24"/>
    <w:rsid w:val="00B31CE8"/>
    <w:rsid w:val="00B41273"/>
    <w:rsid w:val="00B6242B"/>
    <w:rsid w:val="00B65346"/>
    <w:rsid w:val="00B65782"/>
    <w:rsid w:val="00B70929"/>
    <w:rsid w:val="00B72287"/>
    <w:rsid w:val="00B738B4"/>
    <w:rsid w:val="00B83A61"/>
    <w:rsid w:val="00B85F3A"/>
    <w:rsid w:val="00B87A92"/>
    <w:rsid w:val="00B95A63"/>
    <w:rsid w:val="00BA06E2"/>
    <w:rsid w:val="00BA0F42"/>
    <w:rsid w:val="00BA2F87"/>
    <w:rsid w:val="00BA3341"/>
    <w:rsid w:val="00BA3806"/>
    <w:rsid w:val="00BA3CF9"/>
    <w:rsid w:val="00BB77A4"/>
    <w:rsid w:val="00BC7C44"/>
    <w:rsid w:val="00BD1F31"/>
    <w:rsid w:val="00BD2893"/>
    <w:rsid w:val="00BD2B13"/>
    <w:rsid w:val="00BD7030"/>
    <w:rsid w:val="00BE41B6"/>
    <w:rsid w:val="00BE4694"/>
    <w:rsid w:val="00BF088E"/>
    <w:rsid w:val="00BF0D8F"/>
    <w:rsid w:val="00C03052"/>
    <w:rsid w:val="00C03C54"/>
    <w:rsid w:val="00C10311"/>
    <w:rsid w:val="00C16BEE"/>
    <w:rsid w:val="00C20538"/>
    <w:rsid w:val="00C242A8"/>
    <w:rsid w:val="00C2462C"/>
    <w:rsid w:val="00C26F7A"/>
    <w:rsid w:val="00C32552"/>
    <w:rsid w:val="00C331C4"/>
    <w:rsid w:val="00C413F2"/>
    <w:rsid w:val="00C426E1"/>
    <w:rsid w:val="00C50DD2"/>
    <w:rsid w:val="00C53387"/>
    <w:rsid w:val="00C60905"/>
    <w:rsid w:val="00C61710"/>
    <w:rsid w:val="00C752BE"/>
    <w:rsid w:val="00C80FB7"/>
    <w:rsid w:val="00C83477"/>
    <w:rsid w:val="00C840E1"/>
    <w:rsid w:val="00CA40CB"/>
    <w:rsid w:val="00CA5E37"/>
    <w:rsid w:val="00CB0A9B"/>
    <w:rsid w:val="00CB14FF"/>
    <w:rsid w:val="00CB309F"/>
    <w:rsid w:val="00CC3C76"/>
    <w:rsid w:val="00CD72B9"/>
    <w:rsid w:val="00CE1E35"/>
    <w:rsid w:val="00CE3DC7"/>
    <w:rsid w:val="00CE7CB3"/>
    <w:rsid w:val="00D04562"/>
    <w:rsid w:val="00D048CC"/>
    <w:rsid w:val="00D053CC"/>
    <w:rsid w:val="00D2027B"/>
    <w:rsid w:val="00D27246"/>
    <w:rsid w:val="00D31472"/>
    <w:rsid w:val="00D325B8"/>
    <w:rsid w:val="00D332F6"/>
    <w:rsid w:val="00D33790"/>
    <w:rsid w:val="00D355A6"/>
    <w:rsid w:val="00D37626"/>
    <w:rsid w:val="00D43CB9"/>
    <w:rsid w:val="00D47C6F"/>
    <w:rsid w:val="00D64E0A"/>
    <w:rsid w:val="00D674FB"/>
    <w:rsid w:val="00D7002E"/>
    <w:rsid w:val="00D734F3"/>
    <w:rsid w:val="00D8317A"/>
    <w:rsid w:val="00D92631"/>
    <w:rsid w:val="00D95C04"/>
    <w:rsid w:val="00DA1BBD"/>
    <w:rsid w:val="00DA41A8"/>
    <w:rsid w:val="00DB2D36"/>
    <w:rsid w:val="00DB77F7"/>
    <w:rsid w:val="00DC5230"/>
    <w:rsid w:val="00DD2FB5"/>
    <w:rsid w:val="00DD72B6"/>
    <w:rsid w:val="00DF288F"/>
    <w:rsid w:val="00E137AA"/>
    <w:rsid w:val="00E172B5"/>
    <w:rsid w:val="00E22629"/>
    <w:rsid w:val="00E239A0"/>
    <w:rsid w:val="00E279D4"/>
    <w:rsid w:val="00E45870"/>
    <w:rsid w:val="00E46974"/>
    <w:rsid w:val="00E47320"/>
    <w:rsid w:val="00E54C5D"/>
    <w:rsid w:val="00E611F6"/>
    <w:rsid w:val="00E63B28"/>
    <w:rsid w:val="00E646A1"/>
    <w:rsid w:val="00E64CF6"/>
    <w:rsid w:val="00E67169"/>
    <w:rsid w:val="00E8585A"/>
    <w:rsid w:val="00E8770F"/>
    <w:rsid w:val="00E87D85"/>
    <w:rsid w:val="00E92BB1"/>
    <w:rsid w:val="00E96A27"/>
    <w:rsid w:val="00EC3886"/>
    <w:rsid w:val="00EC6038"/>
    <w:rsid w:val="00ED21AF"/>
    <w:rsid w:val="00ED3CBC"/>
    <w:rsid w:val="00ED3FA4"/>
    <w:rsid w:val="00ED410A"/>
    <w:rsid w:val="00ED5D22"/>
    <w:rsid w:val="00ED7571"/>
    <w:rsid w:val="00EE0DD6"/>
    <w:rsid w:val="00EF09B2"/>
    <w:rsid w:val="00EF36F1"/>
    <w:rsid w:val="00EF7545"/>
    <w:rsid w:val="00F01208"/>
    <w:rsid w:val="00F03A74"/>
    <w:rsid w:val="00F06308"/>
    <w:rsid w:val="00F15D35"/>
    <w:rsid w:val="00F201C7"/>
    <w:rsid w:val="00F2701B"/>
    <w:rsid w:val="00F36803"/>
    <w:rsid w:val="00F36E97"/>
    <w:rsid w:val="00F37BE8"/>
    <w:rsid w:val="00F46EED"/>
    <w:rsid w:val="00F8092A"/>
    <w:rsid w:val="00F87004"/>
    <w:rsid w:val="00F93C52"/>
    <w:rsid w:val="00FC28D9"/>
    <w:rsid w:val="00FC4A6F"/>
    <w:rsid w:val="00FC5740"/>
    <w:rsid w:val="00FC6F63"/>
    <w:rsid w:val="00FD0F3A"/>
    <w:rsid w:val="00FD207B"/>
    <w:rsid w:val="00FD79C7"/>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7E91857"/>
  <w15:docId w15:val="{4907E79B-A5DA-4228-BBE5-FF616D26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uiPriority w:val="39"/>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410A"/>
    <w:pPr>
      <w:ind w:left="720"/>
      <w:contextualSpacing/>
    </w:pPr>
  </w:style>
  <w:style w:type="character" w:customStyle="1" w:styleId="FooterChar">
    <w:name w:val="Footer Char"/>
    <w:link w:val="Footer"/>
    <w:uiPriority w:val="99"/>
    <w:rsid w:val="00F36E97"/>
    <w:rPr>
      <w:rFonts w:ascii="Arial" w:hAnsi="Arial"/>
      <w:sz w:val="24"/>
      <w:lang w:eastAsia="en-US"/>
    </w:rPr>
  </w:style>
  <w:style w:type="character" w:customStyle="1" w:styleId="HeaderChar">
    <w:name w:val="Header Char"/>
    <w:link w:val="Header"/>
    <w:uiPriority w:val="99"/>
    <w:rsid w:val="00F36E97"/>
    <w:rPr>
      <w:rFonts w:ascii="Arial" w:hAnsi="Arial"/>
      <w:sz w:val="24"/>
      <w:lang w:eastAsia="en-US"/>
    </w:rPr>
  </w:style>
  <w:style w:type="paragraph" w:customStyle="1" w:styleId="ChapterHeading">
    <w:name w:val="Chapter Heading"/>
    <w:basedOn w:val="Normal"/>
    <w:uiPriority w:val="99"/>
    <w:semiHidden/>
    <w:rsid w:val="00AF1745"/>
    <w:pPr>
      <w:pageBreakBefore/>
      <w:numPr>
        <w:numId w:val="12"/>
      </w:numPr>
      <w:spacing w:before="120" w:after="120"/>
    </w:pPr>
    <w:rPr>
      <w:rFonts w:ascii="Calibri" w:hAnsi="Calibri" w:cs="Arial"/>
      <w:b/>
      <w:noProof/>
      <w:spacing w:val="-5"/>
      <w:sz w:val="36"/>
      <w:szCs w:val="36"/>
    </w:rPr>
  </w:style>
  <w:style w:type="paragraph" w:customStyle="1" w:styleId="Subheading">
    <w:name w:val="Subheading"/>
    <w:basedOn w:val="BodyText"/>
    <w:uiPriority w:val="99"/>
    <w:semiHidden/>
    <w:rsid w:val="00AF1745"/>
    <w:pPr>
      <w:numPr>
        <w:ilvl w:val="1"/>
        <w:numId w:val="12"/>
      </w:numPr>
      <w:pBdr>
        <w:top w:val="none" w:sz="0" w:space="0" w:color="auto"/>
        <w:left w:val="none" w:sz="0" w:space="0" w:color="auto"/>
        <w:bottom w:val="none" w:sz="0" w:space="0" w:color="auto"/>
        <w:right w:val="none" w:sz="0" w:space="0" w:color="auto"/>
      </w:pBdr>
      <w:tabs>
        <w:tab w:val="clear" w:pos="709"/>
      </w:tabs>
      <w:spacing w:before="270" w:after="180"/>
      <w:ind w:right="0"/>
    </w:pPr>
    <w:rPr>
      <w:rFonts w:cs="Arial"/>
      <w:bCs w:val="0"/>
      <w:i w:val="0"/>
      <w:iCs w:val="0"/>
      <w:noProof/>
      <w:szCs w:val="22"/>
    </w:rPr>
  </w:style>
  <w:style w:type="paragraph" w:customStyle="1" w:styleId="subhead">
    <w:name w:val="subhead"/>
    <w:basedOn w:val="Subheading"/>
    <w:link w:val="subheadChar"/>
    <w:uiPriority w:val="99"/>
    <w:rsid w:val="00AF1745"/>
  </w:style>
  <w:style w:type="character" w:customStyle="1" w:styleId="subheadChar">
    <w:name w:val="subhead Char"/>
    <w:basedOn w:val="DefaultParagraphFont"/>
    <w:link w:val="subhead"/>
    <w:uiPriority w:val="99"/>
    <w:locked/>
    <w:rsid w:val="00AF1745"/>
    <w:rPr>
      <w:rFonts w:ascii="Arial" w:hAnsi="Arial" w:cs="Arial"/>
      <w:b/>
      <w:noProof/>
      <w:sz w:val="22"/>
      <w:szCs w:val="22"/>
      <w:lang w:eastAsia="en-US"/>
    </w:rPr>
  </w:style>
  <w:style w:type="paragraph" w:styleId="ListNumber">
    <w:name w:val="List Number"/>
    <w:basedOn w:val="Normal"/>
    <w:uiPriority w:val="99"/>
    <w:semiHidden/>
    <w:unhideWhenUsed/>
    <w:rsid w:val="00AF1745"/>
    <w:pPr>
      <w:numPr>
        <w:numId w:val="13"/>
      </w:numPr>
      <w:contextualSpacing/>
      <w:jc w:val="left"/>
    </w:pPr>
    <w:rPr>
      <w:spacing w:val="-5"/>
      <w:sz w:val="20"/>
    </w:rPr>
  </w:style>
  <w:style w:type="character" w:customStyle="1" w:styleId="ListParagraphChar">
    <w:name w:val="List Paragraph Char"/>
    <w:link w:val="ListParagraph"/>
    <w:uiPriority w:val="34"/>
    <w:rsid w:val="00326AED"/>
    <w:rPr>
      <w:rFonts w:ascii="Arial" w:hAnsi="Arial"/>
      <w:sz w:val="24"/>
      <w:lang w:eastAsia="en-US"/>
    </w:rPr>
  </w:style>
  <w:style w:type="character" w:styleId="CommentReference">
    <w:name w:val="annotation reference"/>
    <w:basedOn w:val="DefaultParagraphFont"/>
    <w:semiHidden/>
    <w:unhideWhenUsed/>
    <w:rsid w:val="00E646A1"/>
    <w:rPr>
      <w:sz w:val="16"/>
      <w:szCs w:val="16"/>
    </w:rPr>
  </w:style>
  <w:style w:type="paragraph" w:styleId="CommentText">
    <w:name w:val="annotation text"/>
    <w:basedOn w:val="Normal"/>
    <w:link w:val="CommentTextChar"/>
    <w:semiHidden/>
    <w:unhideWhenUsed/>
    <w:rsid w:val="00E646A1"/>
    <w:rPr>
      <w:sz w:val="20"/>
    </w:rPr>
  </w:style>
  <w:style w:type="character" w:customStyle="1" w:styleId="CommentTextChar">
    <w:name w:val="Comment Text Char"/>
    <w:basedOn w:val="DefaultParagraphFont"/>
    <w:link w:val="CommentText"/>
    <w:semiHidden/>
    <w:rsid w:val="00E646A1"/>
    <w:rPr>
      <w:rFonts w:ascii="Arial" w:hAnsi="Arial"/>
      <w:lang w:eastAsia="en-US"/>
    </w:rPr>
  </w:style>
  <w:style w:type="paragraph" w:styleId="CommentSubject">
    <w:name w:val="annotation subject"/>
    <w:basedOn w:val="CommentText"/>
    <w:next w:val="CommentText"/>
    <w:link w:val="CommentSubjectChar"/>
    <w:semiHidden/>
    <w:unhideWhenUsed/>
    <w:rsid w:val="00E646A1"/>
    <w:rPr>
      <w:b/>
      <w:bCs/>
    </w:rPr>
  </w:style>
  <w:style w:type="character" w:customStyle="1" w:styleId="CommentSubjectChar">
    <w:name w:val="Comment Subject Char"/>
    <w:basedOn w:val="CommentTextChar"/>
    <w:link w:val="CommentSubject"/>
    <w:semiHidden/>
    <w:rsid w:val="00E646A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4170">
      <w:bodyDiv w:val="1"/>
      <w:marLeft w:val="0"/>
      <w:marRight w:val="0"/>
      <w:marTop w:val="0"/>
      <w:marBottom w:val="0"/>
      <w:divBdr>
        <w:top w:val="none" w:sz="0" w:space="0" w:color="auto"/>
        <w:left w:val="none" w:sz="0" w:space="0" w:color="auto"/>
        <w:bottom w:val="none" w:sz="0" w:space="0" w:color="auto"/>
        <w:right w:val="none" w:sz="0" w:space="0" w:color="auto"/>
      </w:divBdr>
    </w:div>
    <w:div w:id="136344617">
      <w:bodyDiv w:val="1"/>
      <w:marLeft w:val="0"/>
      <w:marRight w:val="0"/>
      <w:marTop w:val="0"/>
      <w:marBottom w:val="0"/>
      <w:divBdr>
        <w:top w:val="none" w:sz="0" w:space="0" w:color="auto"/>
        <w:left w:val="none" w:sz="0" w:space="0" w:color="auto"/>
        <w:bottom w:val="none" w:sz="0" w:space="0" w:color="auto"/>
        <w:right w:val="none" w:sz="0" w:space="0" w:color="auto"/>
      </w:divBdr>
    </w:div>
    <w:div w:id="137578801">
      <w:bodyDiv w:val="1"/>
      <w:marLeft w:val="0"/>
      <w:marRight w:val="0"/>
      <w:marTop w:val="0"/>
      <w:marBottom w:val="0"/>
      <w:divBdr>
        <w:top w:val="none" w:sz="0" w:space="0" w:color="auto"/>
        <w:left w:val="none" w:sz="0" w:space="0" w:color="auto"/>
        <w:bottom w:val="none" w:sz="0" w:space="0" w:color="auto"/>
        <w:right w:val="none" w:sz="0" w:space="0" w:color="auto"/>
      </w:divBdr>
    </w:div>
    <w:div w:id="197665190">
      <w:bodyDiv w:val="1"/>
      <w:marLeft w:val="0"/>
      <w:marRight w:val="0"/>
      <w:marTop w:val="0"/>
      <w:marBottom w:val="0"/>
      <w:divBdr>
        <w:top w:val="none" w:sz="0" w:space="0" w:color="auto"/>
        <w:left w:val="none" w:sz="0" w:space="0" w:color="auto"/>
        <w:bottom w:val="none" w:sz="0" w:space="0" w:color="auto"/>
        <w:right w:val="none" w:sz="0" w:space="0" w:color="auto"/>
      </w:divBdr>
    </w:div>
    <w:div w:id="648441531">
      <w:bodyDiv w:val="1"/>
      <w:marLeft w:val="0"/>
      <w:marRight w:val="0"/>
      <w:marTop w:val="0"/>
      <w:marBottom w:val="0"/>
      <w:divBdr>
        <w:top w:val="none" w:sz="0" w:space="0" w:color="auto"/>
        <w:left w:val="none" w:sz="0" w:space="0" w:color="auto"/>
        <w:bottom w:val="none" w:sz="0" w:space="0" w:color="auto"/>
        <w:right w:val="none" w:sz="0" w:space="0" w:color="auto"/>
      </w:divBdr>
    </w:div>
    <w:div w:id="742992785">
      <w:bodyDiv w:val="1"/>
      <w:marLeft w:val="0"/>
      <w:marRight w:val="0"/>
      <w:marTop w:val="0"/>
      <w:marBottom w:val="0"/>
      <w:divBdr>
        <w:top w:val="none" w:sz="0" w:space="0" w:color="auto"/>
        <w:left w:val="none" w:sz="0" w:space="0" w:color="auto"/>
        <w:bottom w:val="none" w:sz="0" w:space="0" w:color="auto"/>
        <w:right w:val="none" w:sz="0" w:space="0" w:color="auto"/>
      </w:divBdr>
    </w:div>
    <w:div w:id="1196768739">
      <w:bodyDiv w:val="1"/>
      <w:marLeft w:val="0"/>
      <w:marRight w:val="0"/>
      <w:marTop w:val="0"/>
      <w:marBottom w:val="0"/>
      <w:divBdr>
        <w:top w:val="none" w:sz="0" w:space="0" w:color="auto"/>
        <w:left w:val="none" w:sz="0" w:space="0" w:color="auto"/>
        <w:bottom w:val="none" w:sz="0" w:space="0" w:color="auto"/>
        <w:right w:val="none" w:sz="0" w:space="0" w:color="auto"/>
      </w:divBdr>
    </w:div>
    <w:div w:id="1248609963">
      <w:bodyDiv w:val="1"/>
      <w:marLeft w:val="0"/>
      <w:marRight w:val="0"/>
      <w:marTop w:val="0"/>
      <w:marBottom w:val="0"/>
      <w:divBdr>
        <w:top w:val="none" w:sz="0" w:space="0" w:color="auto"/>
        <w:left w:val="none" w:sz="0" w:space="0" w:color="auto"/>
        <w:bottom w:val="none" w:sz="0" w:space="0" w:color="auto"/>
        <w:right w:val="none" w:sz="0" w:space="0" w:color="auto"/>
      </w:divBdr>
    </w:div>
    <w:div w:id="1326784501">
      <w:bodyDiv w:val="1"/>
      <w:marLeft w:val="0"/>
      <w:marRight w:val="0"/>
      <w:marTop w:val="0"/>
      <w:marBottom w:val="0"/>
      <w:divBdr>
        <w:top w:val="none" w:sz="0" w:space="0" w:color="auto"/>
        <w:left w:val="none" w:sz="0" w:space="0" w:color="auto"/>
        <w:bottom w:val="none" w:sz="0" w:space="0" w:color="auto"/>
        <w:right w:val="none" w:sz="0" w:space="0" w:color="auto"/>
      </w:divBdr>
    </w:div>
    <w:div w:id="1362315187">
      <w:bodyDiv w:val="1"/>
      <w:marLeft w:val="0"/>
      <w:marRight w:val="0"/>
      <w:marTop w:val="0"/>
      <w:marBottom w:val="0"/>
      <w:divBdr>
        <w:top w:val="none" w:sz="0" w:space="0" w:color="auto"/>
        <w:left w:val="none" w:sz="0" w:space="0" w:color="auto"/>
        <w:bottom w:val="none" w:sz="0" w:space="0" w:color="auto"/>
        <w:right w:val="none" w:sz="0" w:space="0" w:color="auto"/>
      </w:divBdr>
    </w:div>
    <w:div w:id="1486899226">
      <w:bodyDiv w:val="1"/>
      <w:marLeft w:val="0"/>
      <w:marRight w:val="0"/>
      <w:marTop w:val="0"/>
      <w:marBottom w:val="0"/>
      <w:divBdr>
        <w:top w:val="none" w:sz="0" w:space="0" w:color="auto"/>
        <w:left w:val="none" w:sz="0" w:space="0" w:color="auto"/>
        <w:bottom w:val="none" w:sz="0" w:space="0" w:color="auto"/>
        <w:right w:val="none" w:sz="0" w:space="0" w:color="auto"/>
      </w:divBdr>
    </w:div>
    <w:div w:id="1880968025">
      <w:bodyDiv w:val="1"/>
      <w:marLeft w:val="0"/>
      <w:marRight w:val="0"/>
      <w:marTop w:val="0"/>
      <w:marBottom w:val="0"/>
      <w:divBdr>
        <w:top w:val="none" w:sz="0" w:space="0" w:color="auto"/>
        <w:left w:val="none" w:sz="0" w:space="0" w:color="auto"/>
        <w:bottom w:val="none" w:sz="0" w:space="0" w:color="auto"/>
        <w:right w:val="none" w:sz="0" w:space="0" w:color="auto"/>
      </w:divBdr>
    </w:div>
    <w:div w:id="1985499867">
      <w:bodyDiv w:val="1"/>
      <w:marLeft w:val="0"/>
      <w:marRight w:val="0"/>
      <w:marTop w:val="0"/>
      <w:marBottom w:val="0"/>
      <w:divBdr>
        <w:top w:val="none" w:sz="0" w:space="0" w:color="auto"/>
        <w:left w:val="none" w:sz="0" w:space="0" w:color="auto"/>
        <w:bottom w:val="none" w:sz="0" w:space="0" w:color="auto"/>
        <w:right w:val="none" w:sz="0" w:space="0" w:color="auto"/>
      </w:divBdr>
    </w:div>
    <w:div w:id="1997760566">
      <w:bodyDiv w:val="1"/>
      <w:marLeft w:val="0"/>
      <w:marRight w:val="0"/>
      <w:marTop w:val="0"/>
      <w:marBottom w:val="0"/>
      <w:divBdr>
        <w:top w:val="none" w:sz="0" w:space="0" w:color="auto"/>
        <w:left w:val="none" w:sz="0" w:space="0" w:color="auto"/>
        <w:bottom w:val="none" w:sz="0" w:space="0" w:color="auto"/>
        <w:right w:val="none" w:sz="0" w:space="0" w:color="auto"/>
      </w:divBdr>
    </w:div>
    <w:div w:id="21398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0037-EA36-41C8-BF11-34C29D24098B}">
  <ds:schemaRefs>
    <ds:schemaRef ds:uri="http://schemas.microsoft.com/sharepoint/v3/contenttype/forms"/>
  </ds:schemaRefs>
</ds:datastoreItem>
</file>

<file path=customXml/itemProps2.xml><?xml version="1.0" encoding="utf-8"?>
<ds:datastoreItem xmlns:ds="http://schemas.openxmlformats.org/officeDocument/2006/customXml" ds:itemID="{2B743CBD-535E-49CE-9D4C-B36677B36EC5}">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E666188-2CD4-4165-9599-672DFC3DB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E46A16-C590-4540-AF6F-F256F124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1</TotalTime>
  <Pages>6</Pages>
  <Words>2547</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NEW REPORT</dc:subject>
  <dc:creator>Ruth Rimmington</dc:creator>
  <cp:lastModifiedBy>Steve Kenyon</cp:lastModifiedBy>
  <cp:revision>2</cp:revision>
  <cp:lastPrinted>2019-02-15T10:30:00Z</cp:lastPrinted>
  <dcterms:created xsi:type="dcterms:W3CDTF">2022-02-15T10:05:00Z</dcterms:created>
  <dcterms:modified xsi:type="dcterms:W3CDTF">2022-02-15T10:05:00Z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ADMINREP/REPORT</vt:lpwstr>
  </property>
  <property fmtid="{D5CDD505-2E9C-101B-9397-08002B2CF9AE}" pid="3" name="_AdHocReviewCycleID">
    <vt:i4>1546076735</vt:i4>
  </property>
  <property fmtid="{D5CDD505-2E9C-101B-9397-08002B2CF9AE}" pid="4" name="_NewReviewCycle">
    <vt:lpwstr/>
  </property>
  <property fmtid="{D5CDD505-2E9C-101B-9397-08002B2CF9AE}" pid="5" name="_EmailSubject">
    <vt:lpwstr>Documents for theloop </vt:lpwstr>
  </property>
  <property fmtid="{D5CDD505-2E9C-101B-9397-08002B2CF9AE}" pid="6" name="_AuthorEmail">
    <vt:lpwstr>ruth.rimmington@chorley.gov.uk</vt:lpwstr>
  </property>
  <property fmtid="{D5CDD505-2E9C-101B-9397-08002B2CF9AE}" pid="7" name="_AuthorEmailDisplayName">
    <vt:lpwstr>Ruth Rimmington</vt:lpwstr>
  </property>
  <property fmtid="{D5CDD505-2E9C-101B-9397-08002B2CF9AE}" pid="8" name="ContentTypeId">
    <vt:lpwstr>0x010100E5833E22D5E68F45A7BB288F977285D9</vt:lpwstr>
  </property>
  <property fmtid="{D5CDD505-2E9C-101B-9397-08002B2CF9AE}" pid="9" name="_PreviousAdHocReviewCycleID">
    <vt:i4>1085158989</vt:i4>
  </property>
  <property fmtid="{D5CDD505-2E9C-101B-9397-08002B2CF9AE}" pid="10" name="_ReviewingToolsShownOnce">
    <vt:lpwstr/>
  </property>
</Properties>
</file>